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12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ascii="宋体" w:hAnsi="宋体"/>
          <w:b/>
          <w:color w:val="auto"/>
          <w:sz w:val="44"/>
          <w:szCs w:val="44"/>
        </w:rPr>
        <w:t>20</w:t>
      </w:r>
      <w:r>
        <w:rPr>
          <w:rFonts w:hint="eastAsia" w:ascii="宋体" w:hAnsi="宋体"/>
          <w:b/>
          <w:color w:val="auto"/>
          <w:sz w:val="44"/>
          <w:szCs w:val="44"/>
        </w:rPr>
        <w:t>2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44"/>
          <w:szCs w:val="44"/>
        </w:rPr>
        <w:t>年乌拉特前旗人民检察院部门预算公开报告</w:t>
      </w: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336" w:lineRule="auto"/>
        <w:ind w:firstLine="3520" w:firstLineChars="11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202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auto"/>
          <w:sz w:val="32"/>
          <w:szCs w:val="32"/>
        </w:rPr>
        <w:t>年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color w:val="auto"/>
          <w:sz w:val="32"/>
          <w:szCs w:val="32"/>
        </w:rPr>
        <w:t>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/>
          <w:color w:val="auto"/>
          <w:sz w:val="32"/>
          <w:szCs w:val="32"/>
        </w:rPr>
        <w:t>日</w:t>
      </w:r>
    </w:p>
    <w:p>
      <w:pPr>
        <w:spacing w:line="336" w:lineRule="auto"/>
        <w:ind w:firstLine="2880" w:firstLineChars="90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宋体" w:eastAsia="楷体_GB2312"/>
          <w:b/>
          <w:color w:val="auto"/>
          <w:sz w:val="36"/>
          <w:szCs w:val="36"/>
        </w:rPr>
      </w:pPr>
      <w:r>
        <w:rPr>
          <w:rFonts w:hint="eastAsia" w:ascii="楷体_GB2312" w:hAnsi="宋体" w:eastAsia="楷体_GB2312"/>
          <w:b/>
          <w:color w:val="auto"/>
          <w:sz w:val="36"/>
          <w:szCs w:val="36"/>
        </w:rPr>
        <w:t>目  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宋体" w:eastAsia="楷体_GB2312"/>
          <w:b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第一部分  部门概况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一、部门主要职能、职责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二、机构设置及预算单位构成情况</w:t>
      </w:r>
    </w:p>
    <w:p>
      <w:pPr>
        <w:adjustRightInd w:val="0"/>
        <w:snapToGrid w:val="0"/>
        <w:spacing w:line="560" w:lineRule="exact"/>
        <w:jc w:val="left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第二部分  202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年部门预算安排情况说明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一、部门预算收支总体情况说明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yellow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二、一般公共预算财政拨款收支情况说明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三、政府性基金预算财政拨款支出情况说明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四、财政拨款“三公”经费预算情况说明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第三部分  其他公开事项说明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一、机关运行经费安排情况说明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二、政府采购预算情况说明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三、国有资产占有使用情况说明</w:t>
      </w:r>
    </w:p>
    <w:p>
      <w:pPr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四、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项目支出情况说明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第四部分  名词解释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第五部分  预算公开联系方式及信息反馈渠道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第六部分  202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年部门预算公开表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四、财政拨款收支总体情况表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五、一般公共预算支出情况表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六、一般公共预算基本支出情况表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七、一般公共预算“三公”经费支出情况表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八、政府性基金预算支出情况表</w:t>
      </w:r>
    </w:p>
    <w:p>
      <w:pPr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九、项目支出绩效目标申报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表</w:t>
      </w:r>
    </w:p>
    <w:p>
      <w:pPr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十、政府采购预算明细表</w:t>
      </w:r>
    </w:p>
    <w:p>
      <w:pPr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31" w:bottom="1588" w:left="1531" w:header="851" w:footer="850" w:gutter="0"/>
          <w:pgNumType w:fmt="upperRoman" w:start="1" w:chapStyle="1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楷体_GB2312" w:eastAsia="楷体_GB2312"/>
          <w:b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>第一部分  部门概况</w:t>
      </w:r>
    </w:p>
    <w:p>
      <w:pPr>
        <w:snapToGrid w:val="0"/>
        <w:spacing w:line="560" w:lineRule="exact"/>
        <w:ind w:firstLine="643" w:firstLineChars="200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一、主要职能</w:t>
      </w:r>
    </w:p>
    <w:p>
      <w:pPr>
        <w:snapToGrid w:val="0"/>
        <w:spacing w:line="560" w:lineRule="exact"/>
        <w:ind w:firstLine="64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（一）部门职能</w:t>
      </w:r>
    </w:p>
    <w:p>
      <w:pPr>
        <w:snapToGrid w:val="0"/>
        <w:spacing w:line="560" w:lineRule="exact"/>
        <w:ind w:firstLine="64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仿宋_GB2312" w:hAnsi="仿宋" w:eastAsia="仿宋_GB2312" w:cs="Segoe UI"/>
          <w:color w:val="auto"/>
          <w:kern w:val="0"/>
          <w:sz w:val="32"/>
          <w:szCs w:val="32"/>
        </w:rPr>
        <w:t>乌拉特前旗人民检察院是国家法律监督机关，依法履行法律监督职能，对乌拉特前旗人民代表大会及其常务委员会负责并报告工作，接受乌拉特前旗人民代表大会及其常务委员会的监督。</w:t>
      </w:r>
    </w:p>
    <w:p>
      <w:pPr>
        <w:snapToGrid w:val="0"/>
        <w:spacing w:line="560" w:lineRule="exact"/>
        <w:ind w:firstLine="64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（二）部门主要职责</w:t>
      </w:r>
    </w:p>
    <w:p>
      <w:pPr>
        <w:pStyle w:val="6"/>
        <w:ind w:firstLine="640" w:firstLineChars="200"/>
        <w:rPr>
          <w:rFonts w:ascii="仿宋_GB2312" w:hAnsi="仿宋" w:eastAsia="仿宋_GB2312" w:cs="Segoe UI"/>
          <w:color w:val="auto"/>
          <w:kern w:val="0"/>
          <w:sz w:val="27"/>
          <w:szCs w:val="27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</w:t>
      </w:r>
      <w:r>
        <w:rPr>
          <w:rFonts w:hint="eastAsia" w:ascii="仿宋_GB2312" w:hAnsi="仿宋" w:eastAsia="仿宋_GB2312" w:cs="Segoe UI"/>
          <w:color w:val="auto"/>
          <w:kern w:val="0"/>
          <w:sz w:val="32"/>
          <w:szCs w:val="32"/>
        </w:rPr>
        <w:t>对于叛国案、分裂国家案以及严重破坏国家的政策、法律、法令、政令统一实施的重大犯罪案件行使检察权。</w:t>
      </w:r>
      <w:r>
        <w:rPr>
          <w:rFonts w:hint="eastAsia" w:ascii="仿宋_GB2312" w:hAnsi="仿宋" w:eastAsia="仿宋_GB2312" w:cs="Segoe UI"/>
          <w:color w:val="auto"/>
          <w:kern w:val="0"/>
          <w:sz w:val="27"/>
          <w:szCs w:val="27"/>
        </w:rPr>
        <w:t xml:space="preserve"> </w:t>
      </w:r>
    </w:p>
    <w:p>
      <w:pPr>
        <w:pStyle w:val="6"/>
        <w:ind w:firstLine="640" w:firstLineChars="200"/>
        <w:rPr>
          <w:rFonts w:ascii="仿宋_GB2312" w:hAnsi="仿宋" w:eastAsia="仿宋_GB2312" w:cs="Segoe UI"/>
          <w:color w:val="auto"/>
          <w:kern w:val="0"/>
          <w:sz w:val="27"/>
          <w:szCs w:val="27"/>
        </w:rPr>
      </w:pPr>
      <w:r>
        <w:rPr>
          <w:rFonts w:hint="eastAsia" w:ascii="仿宋_GB2312" w:hAnsi="仿宋" w:eastAsia="仿宋_GB2312" w:cs="Segoe UI"/>
          <w:color w:val="auto"/>
          <w:kern w:val="0"/>
          <w:sz w:val="32"/>
          <w:szCs w:val="32"/>
        </w:rPr>
        <w:t>2、对于公安机关侦查的刑事案件进行审查，决定是否批准逮捕和提起公诉，对符合条件的刑事案件提起公诉、支持公诉以及提起抗诉。</w:t>
      </w:r>
    </w:p>
    <w:p>
      <w:pPr>
        <w:pStyle w:val="6"/>
        <w:ind w:firstLine="640" w:firstLineChars="200"/>
        <w:rPr>
          <w:rFonts w:ascii="仿宋_GB2312" w:hAnsi="仿宋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Segoe UI"/>
          <w:color w:val="auto"/>
          <w:kern w:val="0"/>
          <w:sz w:val="32"/>
          <w:szCs w:val="32"/>
        </w:rPr>
        <w:t xml:space="preserve">3、对刑事立案、侦查、审判活动和刑罚执行及看守所的活动是否合法以及对民事诉讼、行政诉讼是否合法实行法律监督。   </w:t>
      </w:r>
    </w:p>
    <w:p>
      <w:pPr>
        <w:pStyle w:val="6"/>
        <w:ind w:firstLine="640" w:firstLineChars="200"/>
        <w:rPr>
          <w:rFonts w:ascii="仿宋_GB2312" w:hAnsi="仿宋" w:eastAsia="仿宋_GB2312" w:cs="Segoe UI"/>
          <w:color w:val="auto"/>
          <w:kern w:val="0"/>
          <w:sz w:val="27"/>
          <w:szCs w:val="27"/>
        </w:rPr>
      </w:pPr>
      <w:r>
        <w:rPr>
          <w:rFonts w:hint="eastAsia" w:ascii="仿宋_GB2312" w:hAnsi="仿宋" w:eastAsia="仿宋_GB2312" w:cs="Segoe UI"/>
          <w:color w:val="auto"/>
          <w:kern w:val="0"/>
          <w:sz w:val="32"/>
          <w:szCs w:val="32"/>
        </w:rPr>
        <w:t>4、法律规定的其他职权。</w:t>
      </w:r>
    </w:p>
    <w:p>
      <w:pPr>
        <w:snapToGrid w:val="0"/>
        <w:spacing w:line="560" w:lineRule="exact"/>
        <w:ind w:firstLine="64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二、机构设置及预算单位构成情况</w:t>
      </w:r>
    </w:p>
    <w:p>
      <w:pPr>
        <w:snapToGrid w:val="0"/>
        <w:spacing w:line="560" w:lineRule="exact"/>
        <w:ind w:firstLine="64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从预算单位构成看，</w:t>
      </w:r>
      <w:r>
        <w:rPr>
          <w:rFonts w:hint="eastAsia" w:ascii="楷体_GB2312" w:eastAsia="楷体_GB2312"/>
          <w:color w:val="auto"/>
          <w:sz w:val="32"/>
          <w:szCs w:val="32"/>
        </w:rPr>
        <w:t>乌拉特前旗人民检察院</w:t>
      </w:r>
      <w:r>
        <w:rPr>
          <w:rFonts w:hint="eastAsia" w:eastAsia="仿宋_GB2312"/>
          <w:color w:val="auto"/>
          <w:sz w:val="32"/>
          <w:szCs w:val="32"/>
        </w:rPr>
        <w:t>部门预算包括：本级预算和所属事业单位预算。</w:t>
      </w:r>
    </w:p>
    <w:p>
      <w:pPr>
        <w:snapToGrid w:val="0"/>
        <w:spacing w:line="560" w:lineRule="exact"/>
        <w:ind w:firstLine="64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（一）乌拉特前旗人民检察院部门机构及人员基本情况</w:t>
      </w:r>
    </w:p>
    <w:p>
      <w:pPr>
        <w:snapToGrid w:val="0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本级及下设独立预算单位共有1家，其中：财政拨款的行政单位1家，参照公务员法管理的事业单位为0家，公益一类事业单位为0家，公益二类事业单位0家。</w:t>
      </w:r>
    </w:p>
    <w:p>
      <w:pPr>
        <w:pStyle w:val="6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人员基本情况：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乌拉特前旗人民检察院编办核定内部机构5个，核定人员编制43人。截止202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年底，乌拉特前旗人民检察院共有政法专项编制在职职工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人，自治区统一招聘书记员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人，提前离岗人员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人，退休人员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人，遗属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人。</w:t>
      </w:r>
      <w:r>
        <w:rPr>
          <w:rFonts w:hint="eastAsia" w:ascii="仿宋" w:hAnsi="仿宋" w:eastAsia="仿宋"/>
          <w:color w:val="auto"/>
          <w:sz w:val="32"/>
          <w:szCs w:val="32"/>
        </w:rPr>
        <w:t>其中：本年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退休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2人、调出3人、考入6人，退休人员死亡3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</w:p>
    <w:p>
      <w:pPr>
        <w:pStyle w:val="6"/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（二）所属单位设置及人员情况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纳入202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年部门预算编制范围的二级预算单位情况：</w:t>
      </w:r>
    </w:p>
    <w:p>
      <w:pPr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eastAsia="仿宋_GB2312"/>
          <w:b/>
          <w:color w:val="auto"/>
          <w:sz w:val="32"/>
          <w:szCs w:val="32"/>
        </w:rPr>
      </w:pPr>
      <w:r>
        <w:rPr>
          <w:rFonts w:hint="eastAsia" w:eastAsia="仿宋_GB2312"/>
          <w:b/>
          <w:color w:val="auto"/>
          <w:sz w:val="32"/>
          <w:szCs w:val="32"/>
        </w:rPr>
        <w:t>单位情况表</w:t>
      </w:r>
    </w:p>
    <w:p>
      <w:pPr>
        <w:adjustRightInd w:val="0"/>
        <w:snapToGrid w:val="0"/>
        <w:spacing w:line="560" w:lineRule="exact"/>
        <w:rPr>
          <w:rFonts w:hint="eastAsia" w:ascii="仿宋_GB2312" w:hAnsi="黑体" w:eastAsia="仿宋_GB2312"/>
          <w:color w:val="auto"/>
          <w:szCs w:val="21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780"/>
        <w:gridCol w:w="3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color w:val="auto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乌拉特前旗人民检察院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财政拨款的行政单位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>第二部分   202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年部门预算安排情况说明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一、部门预算收支总体情况说明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收入预算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1438.72</w:t>
      </w:r>
      <w:r>
        <w:rPr>
          <w:rFonts w:hint="eastAsia" w:ascii="仿宋_GB2312" w:eastAsia="仿宋_GB2312"/>
          <w:color w:val="auto"/>
          <w:sz w:val="32"/>
          <w:szCs w:val="32"/>
        </w:rPr>
        <w:t>万元，比202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年预算增加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22.92</w:t>
      </w:r>
      <w:r>
        <w:rPr>
          <w:rFonts w:hint="eastAsia" w:ascii="仿宋_GB2312" w:eastAsia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1.62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%，</w:t>
      </w:r>
      <w:r>
        <w:rPr>
          <w:rFonts w:hint="eastAsia" w:ascii="仿宋_GB2312" w:eastAsia="仿宋_GB2312"/>
          <w:color w:val="auto"/>
          <w:sz w:val="32"/>
          <w:szCs w:val="32"/>
        </w:rPr>
        <w:t>主要原因是人员经费的增加。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支出预算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1438.72万</w:t>
      </w:r>
      <w:r>
        <w:rPr>
          <w:rFonts w:hint="eastAsia" w:ascii="仿宋_GB2312" w:eastAsia="仿宋_GB2312"/>
          <w:color w:val="auto"/>
          <w:sz w:val="32"/>
          <w:szCs w:val="32"/>
        </w:rPr>
        <w:t>元，比202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年预算增加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22.92</w:t>
      </w:r>
      <w:r>
        <w:rPr>
          <w:rFonts w:hint="eastAsia" w:ascii="仿宋_GB2312" w:eastAsia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1.62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%，</w:t>
      </w:r>
      <w:r>
        <w:rPr>
          <w:rFonts w:hint="eastAsia" w:ascii="仿宋_GB2312" w:eastAsia="仿宋_GB2312"/>
          <w:color w:val="auto"/>
          <w:sz w:val="32"/>
          <w:szCs w:val="32"/>
        </w:rPr>
        <w:t>主要原因是人员经费的增加。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（一）部门预算收入情况说明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部门预算收入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1438.72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万元，其中：一般公共预算拨款收入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1438.72</w:t>
      </w:r>
      <w:r>
        <w:rPr>
          <w:rFonts w:hint="eastAsia" w:ascii="仿宋_GB2312" w:eastAsia="仿宋_GB2312"/>
          <w:color w:val="auto"/>
          <w:sz w:val="32"/>
          <w:szCs w:val="32"/>
        </w:rPr>
        <w:t>万元，占比100%；政府性基金预算拨款收入 0万元，占比 0%；事业收入0万元，占比0%；事业单位经营收入  0万元，占比0%；，其他收入0万元，占比0%；上年结转0万元，占比0%，用事业基金弥补的收支差额0万元，占比0%。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（二）部门预算支出情况说明</w:t>
      </w:r>
    </w:p>
    <w:p>
      <w:pPr>
        <w:adjustRightInd w:val="0"/>
        <w:snapToGrid w:val="0"/>
        <w:spacing w:line="560" w:lineRule="exact"/>
        <w:ind w:firstLine="64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部门预算支出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1438.72</w:t>
      </w:r>
      <w:r>
        <w:rPr>
          <w:rFonts w:hint="eastAsia" w:ascii="仿宋_GB2312" w:eastAsia="仿宋_GB2312"/>
          <w:color w:val="auto"/>
          <w:sz w:val="32"/>
          <w:szCs w:val="32"/>
        </w:rPr>
        <w:t>元，其中：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基本支出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1040.72万元，</w:t>
      </w:r>
      <w:r>
        <w:rPr>
          <w:rFonts w:hint="eastAsia" w:ascii="仿宋_GB2312" w:eastAsia="仿宋_GB2312"/>
          <w:color w:val="auto"/>
          <w:sz w:val="32"/>
          <w:szCs w:val="32"/>
        </w:rPr>
        <w:t>占比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72.33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项目支出398.00万元，</w:t>
      </w:r>
      <w:r>
        <w:rPr>
          <w:rFonts w:hint="eastAsia" w:ascii="仿宋_GB2312" w:eastAsia="仿宋_GB2312"/>
          <w:color w:val="auto"/>
          <w:sz w:val="32"/>
          <w:szCs w:val="32"/>
        </w:rPr>
        <w:t>占比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26.67%。</w:t>
      </w:r>
    </w:p>
    <w:p>
      <w:pPr>
        <w:spacing w:line="560" w:lineRule="exact"/>
        <w:ind w:firstLine="640" w:firstLineChars="200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二、一般公共预算财政拨款收支情况说明·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（一）财政拨款规模情况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财政拨款收支预算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1438.72</w:t>
      </w:r>
      <w:r>
        <w:rPr>
          <w:rFonts w:hint="eastAsia" w:ascii="仿宋_GB2312" w:eastAsia="仿宋_GB2312"/>
          <w:color w:val="auto"/>
          <w:sz w:val="32"/>
          <w:szCs w:val="32"/>
        </w:rPr>
        <w:t>万元，包括：一般公共预算财政拨款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1438.72</w:t>
      </w:r>
      <w:r>
        <w:rPr>
          <w:rFonts w:hint="eastAsia" w:ascii="仿宋_GB2312" w:eastAsia="仿宋_GB2312"/>
          <w:color w:val="auto"/>
          <w:sz w:val="32"/>
          <w:szCs w:val="32"/>
        </w:rPr>
        <w:t>万元，政府性基金预算财政拨款0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万元，上年结转0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一般公共</w:t>
      </w:r>
      <w:r>
        <w:rPr>
          <w:rFonts w:hint="eastAsia" w:ascii="楷体_GB2312" w:eastAsia="楷体_GB2312"/>
          <w:color w:val="auto"/>
          <w:sz w:val="32"/>
          <w:szCs w:val="32"/>
        </w:rPr>
        <w:t>预算财政拨款具体使用安排情况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公共安全支出类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1235.44</w:t>
      </w:r>
      <w:r>
        <w:rPr>
          <w:rFonts w:hint="eastAsia" w:ascii="仿宋_GB2312" w:eastAsia="仿宋_GB2312"/>
          <w:color w:val="auto"/>
          <w:sz w:val="32"/>
          <w:szCs w:val="32"/>
        </w:rPr>
        <w:t>万元，占比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85.87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比上年预算数增加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10.36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主要用于人员经费、公用经费和必需的专项经费。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社会保障和就业支出类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 xml:space="preserve">85.90 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占比5.97%，</w:t>
      </w:r>
      <w:r>
        <w:rPr>
          <w:rFonts w:hint="eastAsia" w:ascii="仿宋_GB2312" w:eastAsia="仿宋_GB2312"/>
          <w:color w:val="auto"/>
          <w:sz w:val="32"/>
          <w:szCs w:val="32"/>
        </w:rPr>
        <w:t>比上年预算数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6.08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  <w:r>
        <w:rPr>
          <w:rFonts w:hint="eastAsia" w:eastAsia="仿宋_GB2312"/>
          <w:color w:val="auto"/>
          <w:sz w:val="32"/>
          <w:szCs w:val="32"/>
        </w:rPr>
        <w:t>主要用于</w:t>
      </w:r>
      <w:r>
        <w:rPr>
          <w:rFonts w:hint="eastAsia" w:ascii="仿宋_GB2312" w:eastAsia="仿宋_GB2312"/>
          <w:color w:val="auto"/>
          <w:sz w:val="32"/>
          <w:szCs w:val="32"/>
        </w:rPr>
        <w:t>在职人员养老保险。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</w:t>
      </w:r>
      <w:r>
        <w:rPr>
          <w:rFonts w:hint="eastAsia"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</w:rPr>
        <w:t>卫生健康支出类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43.36</w:t>
      </w:r>
      <w:r>
        <w:rPr>
          <w:rFonts w:hint="eastAsia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占比3.01%，</w:t>
      </w:r>
      <w:r>
        <w:rPr>
          <w:rFonts w:hint="eastAsia" w:eastAsia="仿宋_GB2312"/>
          <w:color w:val="auto"/>
          <w:sz w:val="32"/>
          <w:szCs w:val="32"/>
        </w:rPr>
        <w:t>比上年预算数</w:t>
      </w:r>
      <w:r>
        <w:rPr>
          <w:rFonts w:hint="eastAsia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2.44万元。主要用于在职人员医疗保险。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4、</w:t>
      </w:r>
      <w:r>
        <w:rPr>
          <w:rFonts w:hint="eastAsia" w:eastAsia="仿宋_GB2312"/>
          <w:b/>
          <w:color w:val="auto"/>
          <w:sz w:val="32"/>
          <w:szCs w:val="32"/>
        </w:rPr>
        <w:t>住房保障支出类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74.02</w:t>
      </w:r>
      <w:r>
        <w:rPr>
          <w:rFonts w:hint="eastAsia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占比4.14%，</w:t>
      </w:r>
      <w:r>
        <w:rPr>
          <w:rFonts w:hint="eastAsia" w:ascii="仿宋_GB2312" w:eastAsia="仿宋_GB2312"/>
          <w:color w:val="auto"/>
          <w:sz w:val="32"/>
          <w:szCs w:val="32"/>
        </w:rPr>
        <w:t>比上年预算数</w:t>
      </w:r>
      <w:r>
        <w:rPr>
          <w:rFonts w:hint="eastAsia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4.04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  <w:r>
        <w:rPr>
          <w:rFonts w:hint="eastAsia" w:eastAsia="仿宋_GB2312"/>
          <w:color w:val="auto"/>
          <w:sz w:val="32"/>
          <w:szCs w:val="32"/>
        </w:rPr>
        <w:t>主要用于</w:t>
      </w:r>
      <w:r>
        <w:rPr>
          <w:rFonts w:hint="eastAsia" w:ascii="仿宋_GB2312" w:eastAsia="仿宋_GB2312"/>
          <w:color w:val="auto"/>
          <w:sz w:val="32"/>
          <w:szCs w:val="32"/>
        </w:rPr>
        <w:t>在职人员住房公积金。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三、政府性基金预算财政拨款支出情况说明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政府性基金预算财政拨款 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eastAsia="仿宋_GB2312"/>
          <w:color w:val="auto"/>
          <w:sz w:val="32"/>
          <w:szCs w:val="32"/>
        </w:rPr>
        <w:t>万元，比上年预算数增加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增长0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我单位无政府性基金财政拨款预算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四、财政拨款“三公”经费预算情况说明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财政拨款“三公”经费支出预算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47.60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万元，比上年预算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1、因公出国（境）费用0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万元，比上年预算数减少0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万元，下降0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%，本年预算比上年执行数减少0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万元，下降0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%。增加（减少）主要是由于我单位无此项预算。</w:t>
      </w:r>
    </w:p>
    <w:p>
      <w:pPr>
        <w:adjustRightInd w:val="0"/>
        <w:snapToGrid w:val="0"/>
        <w:spacing w:line="560" w:lineRule="exact"/>
        <w:ind w:left="160" w:leftChars="76"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2、公务接待费2.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万元，比上年预算数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本年预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szCs w:val="32"/>
        </w:rPr>
        <w:t>算比上年执行数减少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color w:val="auto"/>
          <w:sz w:val="32"/>
          <w:szCs w:val="32"/>
        </w:rPr>
        <w:t>万元，下降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19.23</w:t>
      </w:r>
      <w:r>
        <w:rPr>
          <w:rFonts w:hint="eastAsia" w:ascii="仿宋_GB2312" w:eastAsia="仿宋_GB2312"/>
          <w:color w:val="auto"/>
          <w:sz w:val="32"/>
          <w:szCs w:val="32"/>
        </w:rPr>
        <w:t>%。减少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原因</w:t>
      </w:r>
      <w:r>
        <w:rPr>
          <w:rFonts w:hint="eastAsia" w:ascii="仿宋_GB2312" w:eastAsia="仿宋_GB2312"/>
          <w:color w:val="auto"/>
          <w:sz w:val="32"/>
          <w:szCs w:val="32"/>
        </w:rPr>
        <w:t>主要是：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厉行节约，压缩公务接待费用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left="160" w:leftChars="76" w:firstLine="480" w:firstLineChars="150"/>
        <w:rPr>
          <w:rFonts w:hint="eastAsia" w:ascii="楷体_GB2312" w:hAnsi="黑体" w:eastAsia="楷体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3、公务用车购置及运行维护费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45.00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万元，比上年预算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本年预算比上年执行数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2.00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降低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4.44</w:t>
      </w:r>
      <w:r>
        <w:rPr>
          <w:rFonts w:hint="eastAsia" w:ascii="仿宋_GB2312" w:eastAsia="仿宋_GB2312"/>
          <w:color w:val="auto"/>
          <w:sz w:val="32"/>
          <w:szCs w:val="32"/>
        </w:rPr>
        <w:t>%。其中，</w:t>
      </w:r>
      <w:r>
        <w:rPr>
          <w:rFonts w:hint="eastAsia" w:ascii="仿宋_GB2312" w:eastAsia="仿宋_GB2312"/>
          <w:color w:val="auto"/>
          <w:sz w:val="32"/>
          <w:szCs w:val="32"/>
        </w:rPr>
        <w:t>公务用车购置0 万元，比上年预算减少0万元，下降0%，本年预算比上年执行数减少0万元，下降0 %；公务用车运行维护费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45.00</w:t>
      </w:r>
      <w:r>
        <w:rPr>
          <w:rFonts w:hint="eastAsia" w:ascii="仿宋_GB2312" w:eastAsia="仿宋_GB2312"/>
          <w:color w:val="auto"/>
          <w:sz w:val="32"/>
          <w:szCs w:val="32"/>
        </w:rPr>
        <w:t>万元，本年预算比上年预算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2.00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降低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4.44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减少原因</w:t>
      </w:r>
      <w:r>
        <w:rPr>
          <w:rFonts w:hint="eastAsia" w:ascii="仿宋_GB2312" w:eastAsia="仿宋_GB2312"/>
          <w:color w:val="auto"/>
          <w:sz w:val="32"/>
          <w:szCs w:val="32"/>
        </w:rPr>
        <w:t>主要是：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厉行节约，压缩</w:t>
      </w:r>
      <w:r>
        <w:rPr>
          <w:rFonts w:hint="eastAsia" w:ascii="仿宋_GB2312" w:eastAsia="仿宋_GB2312"/>
          <w:color w:val="auto"/>
          <w:sz w:val="32"/>
          <w:szCs w:val="32"/>
        </w:rPr>
        <w:t>公务用车运行维护费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auto"/>
          <w:sz w:val="36"/>
          <w:szCs w:val="36"/>
        </w:rPr>
      </w:pPr>
      <w:r>
        <w:rPr>
          <w:rFonts w:hint="eastAsia" w:ascii="楷体_GB2312" w:hAnsi="黑体" w:eastAsia="楷体_GB2312"/>
          <w:b/>
          <w:color w:val="auto"/>
          <w:sz w:val="36"/>
          <w:szCs w:val="36"/>
        </w:rPr>
        <w:t>第三部分  其他公开事项说明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一、机关运行经费安排情况说明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机关运行经费，是指各部门的公用经费，包括办公及印刷费、邮电费、差旅费、会议费、福利费、日常维修费、专业材料及一般设备购置费、办公用房水电费、办公用房取暖费、办公用房物业管理费、公务用车运行维护费以及其他费用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年，机关运行经费财政拨款预算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98.24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4.91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5.26</w:t>
      </w:r>
      <w:r>
        <w:rPr>
          <w:rFonts w:hint="eastAsia" w:ascii="仿宋_GB2312" w:eastAsia="仿宋_GB2312"/>
          <w:color w:val="auto"/>
          <w:sz w:val="32"/>
          <w:szCs w:val="32"/>
        </w:rPr>
        <w:t>%。主要原因是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工会经费、福利费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等费用的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</w:rPr>
        <w:t>。运行经费主要包括以下支出：办公费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26.40</w:t>
      </w:r>
      <w:r>
        <w:rPr>
          <w:rFonts w:hint="eastAsia" w:ascii="仿宋_GB2312" w:eastAsia="仿宋_GB2312"/>
          <w:color w:val="auto"/>
          <w:sz w:val="32"/>
          <w:szCs w:val="32"/>
        </w:rPr>
        <w:t>万元、差旅费1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万元、水费1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万元、电费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10.00</w:t>
      </w:r>
      <w:r>
        <w:rPr>
          <w:rFonts w:hint="eastAsia" w:ascii="仿宋_GB2312" w:eastAsia="仿宋_GB2312"/>
          <w:color w:val="auto"/>
          <w:sz w:val="32"/>
          <w:szCs w:val="32"/>
        </w:rPr>
        <w:t>万元、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物业管理费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1.00万元、取暖费1.00万元、</w:t>
      </w:r>
      <w:r>
        <w:rPr>
          <w:rFonts w:hint="eastAsia" w:ascii="仿宋_GB2312" w:eastAsia="仿宋_GB2312"/>
          <w:color w:val="auto"/>
          <w:sz w:val="32"/>
          <w:szCs w:val="32"/>
        </w:rPr>
        <w:t>公务接待费2.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万元、工会经费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9.27</w:t>
      </w:r>
      <w:r>
        <w:rPr>
          <w:rFonts w:hint="eastAsia" w:ascii="仿宋_GB2312" w:eastAsia="仿宋_GB2312"/>
          <w:color w:val="auto"/>
          <w:sz w:val="32"/>
          <w:szCs w:val="32"/>
        </w:rPr>
        <w:t>万元、福利费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12.85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万元、其他交通费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33.12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二、政府采购预算情况说明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政府采购预算总额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163.00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71.00</w:t>
      </w:r>
      <w:r>
        <w:rPr>
          <w:rFonts w:hint="eastAsia" w:ascii="仿宋_GB2312" w:eastAsia="仿宋_GB2312"/>
          <w:color w:val="auto"/>
          <w:sz w:val="32"/>
          <w:szCs w:val="32"/>
        </w:rPr>
        <w:t>万元，政府采购工程预算0万元，政府采购服务预算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92.00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三、国有资产占有使用情况说明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截至202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年末，共有车辆 10辆， 其中：机要应急通讯车辆 1辆，执法执勤用车9辆，主要用于机要通信、突发事件处置、折法执勤等。单位价值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（含）</w:t>
      </w:r>
      <w:r>
        <w:rPr>
          <w:rFonts w:hint="eastAsia" w:ascii="仿宋_GB2312" w:eastAsia="仿宋_GB2312"/>
          <w:color w:val="auto"/>
          <w:sz w:val="32"/>
          <w:szCs w:val="32"/>
        </w:rPr>
        <w:t>以上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的通用设备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6（台）套，</w:t>
      </w:r>
      <w:r>
        <w:rPr>
          <w:rFonts w:hint="eastAsia" w:ascii="仿宋_GB2312" w:eastAsia="仿宋_GB2312"/>
          <w:color w:val="auto"/>
          <w:sz w:val="32"/>
          <w:szCs w:val="32"/>
        </w:rPr>
        <w:t>单位价值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（含）</w:t>
      </w:r>
      <w:r>
        <w:rPr>
          <w:rFonts w:hint="eastAsia" w:ascii="仿宋_GB2312" w:eastAsia="仿宋_GB2312"/>
          <w:color w:val="auto"/>
          <w:sz w:val="32"/>
          <w:szCs w:val="32"/>
        </w:rPr>
        <w:t>以上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的专用设备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0（台）套，</w:t>
      </w:r>
      <w:r>
        <w:rPr>
          <w:rFonts w:hint="eastAsia" w:ascii="仿宋_GB2312" w:eastAsia="仿宋_GB2312"/>
          <w:color w:val="auto"/>
          <w:sz w:val="32"/>
          <w:szCs w:val="32"/>
        </w:rPr>
        <w:t>单位价值200万元以上大型设备0台（套）等，与上年持平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，无变动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</w:rPr>
        <w:t>项目支出情况说明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（一）项目支出</w:t>
      </w:r>
    </w:p>
    <w:p>
      <w:pPr>
        <w:pStyle w:val="6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项目支出预算总额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398.00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6.35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，其中：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办案（业务）经费321.00万元、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业务装备经费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77.00万元。</w:t>
      </w:r>
    </w:p>
    <w:p>
      <w:pPr>
        <w:pStyle w:val="6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（二）项目支出绩效目标情况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bookmarkStart w:id="0" w:name="OLE_LINK1"/>
      <w:r>
        <w:rPr>
          <w:rFonts w:hint="eastAsia" w:ascii="仿宋_GB2312" w:eastAsia="仿宋_GB2312"/>
          <w:color w:val="auto"/>
          <w:sz w:val="32"/>
          <w:szCs w:val="32"/>
        </w:rPr>
        <w:t>公开绩效目标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个，</w:t>
      </w:r>
      <w:bookmarkEnd w:id="0"/>
      <w:r>
        <w:rPr>
          <w:rFonts w:hint="eastAsia" w:ascii="仿宋_GB2312" w:eastAsia="仿宋_GB2312"/>
          <w:color w:val="auto"/>
          <w:sz w:val="32"/>
          <w:szCs w:val="32"/>
        </w:rPr>
        <w:t>公开填报绩效目标的项目支出预算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398.00</w:t>
      </w:r>
      <w:r>
        <w:rPr>
          <w:rFonts w:hint="eastAsia" w:ascii="仿宋_GB2312" w:eastAsia="仿宋_GB2312"/>
          <w:color w:val="auto"/>
          <w:sz w:val="32"/>
          <w:szCs w:val="32"/>
        </w:rPr>
        <w:t>万元，占全部项目支出预算的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100.00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napToGrid w:val="0"/>
        <w:spacing w:line="560" w:lineRule="exact"/>
        <w:jc w:val="center"/>
        <w:rPr>
          <w:rFonts w:hint="eastAsia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auto"/>
          <w:sz w:val="36"/>
          <w:szCs w:val="36"/>
        </w:rPr>
      </w:pPr>
      <w:r>
        <w:rPr>
          <w:rFonts w:hint="eastAsia" w:ascii="楷体_GB2312" w:hAnsi="黑体" w:eastAsia="楷体_GB2312"/>
          <w:b/>
          <w:color w:val="auto"/>
          <w:sz w:val="36"/>
          <w:szCs w:val="36"/>
        </w:rPr>
        <w:t>第四部分  名词解释</w:t>
      </w:r>
    </w:p>
    <w:p>
      <w:pPr>
        <w:snapToGrid w:val="0"/>
        <w:spacing w:line="560" w:lineRule="exact"/>
        <w:jc w:val="center"/>
        <w:rPr>
          <w:rFonts w:hint="eastAsia"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一、一般公共预算财政拨款收入：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是指自治区财政当年拨付的资金。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二、事业收入：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是指事业单位开展专业业务活动及辅助活动所取得的收入。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三、基本支出</w:t>
      </w:r>
      <w:r>
        <w:rPr>
          <w:rFonts w:hint="eastAsia" w:ascii="仿宋_GB2312" w:eastAsia="仿宋_GB2312"/>
          <w:color w:val="auto"/>
          <w:sz w:val="32"/>
          <w:szCs w:val="32"/>
        </w:rPr>
        <w:t>：是指为保障机构正常运转，完成日常工作任务而发生的人员支出和共用支出。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四、项目支出</w:t>
      </w:r>
      <w:r>
        <w:rPr>
          <w:rFonts w:hint="eastAsia" w:ascii="仿宋_GB2312" w:eastAsia="仿宋_GB2312"/>
          <w:color w:val="auto"/>
          <w:sz w:val="32"/>
          <w:szCs w:val="32"/>
        </w:rPr>
        <w:t>：是指基本支出之外，为完成特定行政任务和事业发展目标所发生的支出。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五、“三公”经费</w:t>
      </w:r>
      <w:r>
        <w:rPr>
          <w:rFonts w:hint="eastAsia" w:ascii="仿宋_GB2312" w:eastAsia="仿宋_GB2312"/>
          <w:color w:val="auto"/>
          <w:sz w:val="32"/>
          <w:szCs w:val="32"/>
        </w:rPr>
        <w:t>：纳入财政预决算管理的“三公”经费，是指部门用财政拨款安排的因公出国（境）费、公务用车购置及运行维护费、公务接待费。其中：因公出国（境）费反映单位公务出国（境）的国际旅费、国内城市间交通费、住宿费、伙食费、培训费、公杂费等支出；公务用车购置费反映单位公务员车购置支出（含车辆购置税）；公务用车运行维护费反映单位按规定保留的公务用车燃料费、维修费、保险费、过路过桥费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六、机关运行经费</w:t>
      </w:r>
      <w:r>
        <w:rPr>
          <w:rFonts w:hint="eastAsia" w:ascii="仿宋_GB2312" w:eastAsia="仿宋_GB2312"/>
          <w:color w:val="auto"/>
          <w:sz w:val="32"/>
          <w:szCs w:val="32"/>
        </w:rPr>
        <w:t>：是指为保障行政单位（含参照公务员法管理的事业单位）运行，用于购买货物和服务等的各项公用经费，包括办公及印刷费、邮电费、差旅费、会议费、福利费、日常维修费、专业材料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七、工资福利支出（支出经济分类科目类级）</w:t>
      </w:r>
      <w:r>
        <w:rPr>
          <w:rFonts w:hint="eastAsia" w:ascii="仿宋_GB2312" w:eastAsia="仿宋_GB2312"/>
          <w:color w:val="auto"/>
          <w:sz w:val="32"/>
          <w:szCs w:val="32"/>
        </w:rPr>
        <w:t>：反映单位开支的在职职工和编制外长期聘用人员的各类活动报酬，以及为上述人员缴纳的各项社会保险费等。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八、商品和服务支出（支出经济分类科目类级）</w:t>
      </w:r>
      <w:r>
        <w:rPr>
          <w:rFonts w:hint="eastAsia" w:ascii="仿宋_GB2312" w:eastAsia="仿宋_GB2312"/>
          <w:color w:val="auto"/>
          <w:sz w:val="32"/>
          <w:szCs w:val="32"/>
        </w:rPr>
        <w:t>：反映单位购买商品和服务的支出（不包括用于购置固定资产的支出、战略性和应急储备支出）。</w:t>
      </w: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auto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auto"/>
          <w:sz w:val="36"/>
          <w:szCs w:val="36"/>
        </w:rPr>
      </w:pPr>
      <w:r>
        <w:rPr>
          <w:rFonts w:hint="eastAsia" w:ascii="楷体_GB2312" w:hAnsi="黑体" w:eastAsia="楷体_GB2312"/>
          <w:b/>
          <w:color w:val="auto"/>
          <w:sz w:val="36"/>
          <w:szCs w:val="36"/>
        </w:rPr>
        <w:t>第五部分  预算公开联系方式及信息反馈渠道</w:t>
      </w: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auto"/>
          <w:sz w:val="36"/>
          <w:szCs w:val="36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本（部门）单位预算公开信息反馈和联系方式：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联系人：李燕    联系电话：0478-3229035</w:t>
      </w: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auto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auto"/>
          <w:sz w:val="36"/>
          <w:szCs w:val="36"/>
        </w:rPr>
      </w:pPr>
      <w:r>
        <w:rPr>
          <w:rFonts w:hint="eastAsia" w:ascii="楷体_GB2312" w:hAnsi="黑体" w:eastAsia="楷体_GB2312"/>
          <w:b/>
          <w:color w:val="auto"/>
          <w:sz w:val="36"/>
          <w:szCs w:val="36"/>
        </w:rPr>
        <w:t>第六部分  部门预算公开表</w:t>
      </w:r>
    </w:p>
    <w:p>
      <w:pPr>
        <w:snapToGrid w:val="0"/>
        <w:spacing w:line="560" w:lineRule="exact"/>
        <w:ind w:firstLine="720" w:firstLineChars="200"/>
        <w:rPr>
          <w:rFonts w:hint="eastAsia" w:ascii="仿宋_GB2312" w:hAnsi="黑体" w:eastAsia="仿宋_GB2312"/>
          <w:color w:val="auto"/>
          <w:sz w:val="36"/>
          <w:szCs w:val="36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详见附表：部门预算公开1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张表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5" w:type="default"/>
      <w:pgSz w:w="11906" w:h="16838"/>
      <w:pgMar w:top="1588" w:right="1531" w:bottom="1588" w:left="1531" w:header="851" w:footer="851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III</w:t>
    </w:r>
    <w:r>
      <w:fldChar w:fldCharType="end"/>
    </w:r>
  </w:p>
  <w:p>
    <w:pPr>
      <w:pStyle w:val="2"/>
      <w:jc w:val="center"/>
      <w:rPr>
        <w:sz w:val="24"/>
        <w:szCs w:val="24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55B8E"/>
    <w:rsid w:val="07910BFC"/>
    <w:rsid w:val="09234EE9"/>
    <w:rsid w:val="249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2024-02-20T07:26:00Z</dcterms:created>
  <dc:creator>Administrator</dc:creator>
  <cp:lastModifiedBy>Administrator</cp:lastModifiedBy>
  <dcterms:modified xsi:type="dcterms:W3CDTF">2025-01-21T10:17:45Z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