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年度乌拉特前旗人民检察院</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widowControl/>
        <w:spacing w:before="240" w:after="240"/>
        <w:jc w:val="left"/>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第一部分 部门（单位）概况</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一、主要职能、职责</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二、部门（单位）机构设置及决算单位构成情况</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三、2024年度部门（单位）主要工作完成情况</w:t>
      </w:r>
    </w:p>
    <w:p>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第二部分 部门（单位）决算情况说明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一、收入支出决算总体情况说明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二、收入决算情况说明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三、支出决算情况说明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四、财政拨款收入支出决算总体情况说明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五、一般公共预算财政拨款支出决算情况说明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六、一般公共预算财政拨款基本支出决算情况说明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七、一般公共预算财政拨款项目支出决算情况说明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八、财政拨款“三公”经费支出决算情况说明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九、政府性基金预算财政拨款支出决算情况说明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十、国有资本经营预算财政拨款支出决算情况说明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十一、机关运行经费（公用经费）支出决算情况说明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十二、政府采购支出决算情况说明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十三、国有资产占用情况说明</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十四、预算绩效情况说明</w:t>
      </w:r>
    </w:p>
    <w:p>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第三部分 名词解释</w:t>
      </w:r>
    </w:p>
    <w:p>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第四部分 决算公开联系方式及信息反馈渠道</w:t>
      </w:r>
    </w:p>
    <w:p>
      <w:pPr>
        <w:widowControl/>
        <w:spacing w:before="240" w:after="240"/>
        <w:jc w:val="left"/>
        <w:rPr>
          <w:rFonts w:ascii="黑体" w:hAnsi="黑体" w:eastAsia="黑体" w:cs="黑体"/>
          <w:kern w:val="0"/>
          <w:sz w:val="32"/>
          <w:szCs w:val="32"/>
        </w:rPr>
      </w:pPr>
      <w:r>
        <w:rPr>
          <w:rFonts w:ascii="黑体" w:hAnsi="黑体" w:eastAsia="黑体" w:cs="黑体"/>
          <w:kern w:val="0"/>
          <w:sz w:val="32"/>
          <w:szCs w:val="32"/>
        </w:rPr>
        <w:t>第五部分 部门（单位）决算表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一、收入支出决算总表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二、收入决算表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三、支出决算表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四、财政拨款收入支出决算总表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五、一般公共预算财政拨款支出决算表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六、一般公共预算财政拨款基本支出决算明细表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七、一般公共预算财政拨款项目支出决算明细表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八、政府性基金预算财政拨款收入支出决算表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九、国有资本经营预算财政拨款收入支出决算表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十、财政拨款“三公”经费支出决算表</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十一、机关运行经费支出、国有资产占用情况及政府采购支出信息表</w:t>
      </w:r>
    </w:p>
    <w:p>
      <w:pPr>
        <w:widowControl/>
        <w:spacing w:before="240" w:after="240"/>
        <w:rPr>
          <w:rFonts w:ascii="Times New Roman" w:hAnsi="Times New Roman" w:eastAsia="Times New Roman" w:cs="Times New Roman"/>
          <w:b/>
          <w:bCs/>
          <w:kern w:val="0"/>
          <w:sz w:val="24"/>
        </w:rPr>
      </w:pPr>
      <w:r>
        <w:rPr>
          <w:rFonts w:ascii="仿宋_GB2312" w:hAnsi="仿宋_GB2312" w:eastAsia="仿宋_GB2312" w:cs="仿宋_GB2312"/>
          <w:color w:val="0E00FE"/>
          <w:kern w:val="0"/>
          <w:sz w:val="27"/>
          <w:szCs w:val="27"/>
        </w:rPr>
        <w:t>特别强调1：在“内蒙古自治区财政预决算公开平台”公开时，每个公开位置要精准上传指定报表，切忌重复公开多个决算公开表；</w:t>
      </w:r>
      <w:r>
        <w:rPr>
          <w:rFonts w:ascii="仿宋_GB2312" w:hAnsi="仿宋_GB2312" w:eastAsia="仿宋_GB2312" w:cs="仿宋_GB2312"/>
          <w:b/>
          <w:bCs/>
          <w:color w:val="0E00FE"/>
          <w:kern w:val="0"/>
          <w:sz w:val="27"/>
          <w:szCs w:val="27"/>
        </w:rPr>
        <w:t>没有数据的报表也要上传空表，并在报表合计数处填“0”，同时在报表下方说明空表原因。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特别强调2：公开报表缩放比例要适当，最好保持在80%-100%。</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3：部门（单位）是决算公开的主体，部门（单位）对公开信息的真实性、准确性和完整性负责，并做好决算公开后的说明解释工作。依法确定为国家秘密的信息不予公开；涉密信息经法定程序解密并删除涉密内容后，予以公开。</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4：决算公开报告模板中蓝色字体是提示性语句，需根据提示性语句进行补充完善，正式公开时需删除。要将模板提取的数据与决算报送终稿数据进行比对。模板中关于增加（减少）、增长（下降）的表述，如果对应提取数据为正数时，删除“（减少）”、“（下降）”；如果对应提取数据为负数时，删除“增加”或“增长”、“-”、以及减少两边的括号。</w:t>
      </w:r>
    </w:p>
    <w:p>
      <w:pPr>
        <w:widowControl/>
        <w:spacing w:before="240" w:after="240"/>
        <w:rPr>
          <w:rFonts w:ascii="Times New Roman" w:hAnsi="Times New Roman" w:eastAsia="Times New Roman" w:cs="Times New Roman"/>
          <w:kern w:val="0"/>
          <w:sz w:val="24"/>
        </w:rPr>
      </w:pP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pPr>
        <w:widowControl/>
        <w:spacing w:before="240" w:after="240"/>
        <w:jc w:val="left"/>
        <w:rPr>
          <w:rFonts w:hint="eastAsia" w:ascii="楷体" w:hAnsi="楷体" w:eastAsia="楷体" w:cs="楷体"/>
          <w:b/>
          <w:bCs/>
          <w:kern w:val="0"/>
          <w:sz w:val="32"/>
          <w:szCs w:val="32"/>
        </w:rPr>
      </w:pPr>
      <w:r>
        <w:rPr>
          <w:rFonts w:hint="eastAsia" w:ascii="楷体" w:hAnsi="楷体" w:eastAsia="楷体" w:cs="楷体"/>
          <w:b/>
          <w:bCs/>
          <w:kern w:val="0"/>
          <w:sz w:val="32"/>
          <w:szCs w:val="32"/>
        </w:rPr>
        <w:t>    一、主要职能、职责</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hint="default" w:ascii="仿宋_GB2312" w:hAnsi="Calibri" w:eastAsia="仿宋_GB2312" w:cs="仿宋_GB2312"/>
          <w:kern w:val="0"/>
          <w:sz w:val="32"/>
          <w:szCs w:val="32"/>
        </w:rPr>
        <w:t>巴彦淖尓市乌拉特前旗人民检察院是自治区人民检察院主管的依法行使检察权的法津监督部门，对各类刑事犯罪案件履行审查批捕、审查起诉职能；行使对公安机关的侦查监督、立案监督、执行监督以及对法院的刑事、民事、行政审判、执行活动的法律监督权。承办受理、接待报案、控告， 接受犯罪人的自首；受理不服人民检察院不批准逮捕、不起诉、撤销案件及其他处理决定的申诉；受理不服人民法院已经发行法律效力的刑事判决、裁定的申诉；受理人民检察院负有赔偿义务的刑事赔偿案件等职责。</w:t>
      </w:r>
    </w:p>
    <w:p>
      <w:pPr>
        <w:widowControl/>
        <w:spacing w:before="240" w:after="240"/>
        <w:jc w:val="left"/>
        <w:rPr>
          <w:rFonts w:hint="eastAsia" w:ascii="楷体" w:hAnsi="楷体" w:eastAsia="楷体" w:cs="楷体"/>
          <w:b/>
          <w:bCs/>
          <w:kern w:val="0"/>
          <w:sz w:val="32"/>
          <w:szCs w:val="32"/>
        </w:rPr>
      </w:pPr>
      <w:r>
        <w:rPr>
          <w:rFonts w:hint="eastAsia" w:ascii="楷体" w:hAnsi="楷体" w:eastAsia="楷体" w:cs="楷体"/>
          <w:b/>
          <w:bCs/>
          <w:kern w:val="0"/>
          <w:sz w:val="32"/>
          <w:szCs w:val="32"/>
        </w:rPr>
        <w:t>    二、部门（单位）机构设置及决算单位构成情况</w:t>
      </w:r>
    </w:p>
    <w:p>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after="0" w:afterAutospacing="1" w:line="324" w:lineRule="auto"/>
        <w:ind w:right="419" w:rightChars="0" w:firstLine="540" w:firstLineChars="200"/>
        <w:textAlignment w:val="auto"/>
        <w:rPr>
          <w:rFonts w:hint="default" w:ascii="仿宋_GB2312" w:hAnsi="Calibri" w:eastAsia="仿宋_GB2312" w:cs="仿宋_GB2312"/>
          <w:kern w:val="0"/>
          <w:sz w:val="32"/>
          <w:szCs w:val="32"/>
        </w:rPr>
      </w:pPr>
      <w:r>
        <w:rPr>
          <w:rFonts w:ascii="times_new_roman" w:hAnsi="times_new_roman" w:eastAsia="times_new_roman" w:cs="times_new_roman"/>
          <w:kern w:val="0"/>
          <w:sz w:val="27"/>
          <w:szCs w:val="27"/>
        </w:rPr>
        <w:t>  </w:t>
      </w:r>
      <w:r>
        <w:rPr>
          <w:rFonts w:hint="eastAsia" w:ascii="仿宋_GB2312" w:hAnsi="Calibri" w:eastAsia="仿宋_GB2312" w:cs="仿宋_GB2312"/>
          <w:kern w:val="0"/>
          <w:sz w:val="32"/>
          <w:szCs w:val="32"/>
          <w:lang w:val="en-US" w:eastAsia="zh-CN"/>
        </w:rPr>
        <w:t>1.</w:t>
      </w:r>
      <w:r>
        <w:rPr>
          <w:rFonts w:hint="default" w:ascii="仿宋_GB2312" w:hAnsi="Calibri" w:eastAsia="仿宋_GB2312" w:cs="仿宋_GB2312"/>
          <w:kern w:val="0"/>
          <w:sz w:val="32"/>
          <w:szCs w:val="32"/>
        </w:rPr>
        <w:t>巴彦淖尓市乌拉特前旗人民检察院是厅本级独立预算单位, 乌拉特前旗人民检察院成立于 1978 年，下设第一检察部、第二检察部、第三检察部、政治部、办公室、司法 警察大队，共 6 个部门。本部门（单位）无下属单位。</w:t>
      </w:r>
    </w:p>
    <w:p>
      <w:pPr>
        <w:widowControl/>
        <w:spacing w:before="240" w:after="240"/>
        <w:rPr>
          <w:rFonts w:hint="default" w:ascii="仿宋_GB2312" w:hAnsi="Calibri" w:eastAsia="仿宋_GB2312" w:cs="仿宋_GB2312"/>
          <w:kern w:val="0"/>
          <w:sz w:val="32"/>
          <w:szCs w:val="32"/>
          <w:lang w:val="en-US" w:eastAsia="zh-CN" w:bidi="ar-SA"/>
        </w:rPr>
      </w:pPr>
      <w:r>
        <w:rPr>
          <w:rFonts w:ascii="times_new_roman" w:hAnsi="times_new_roman" w:eastAsia="times_new_roman" w:cs="times_new_roman"/>
          <w:kern w:val="0"/>
          <w:sz w:val="27"/>
          <w:szCs w:val="27"/>
        </w:rPr>
        <w:t xml:space="preserve">  </w:t>
      </w:r>
      <w:r>
        <w:rPr>
          <w:rFonts w:hint="default" w:ascii="仿宋_GB2312" w:hAnsi="Calibri" w:eastAsia="仿宋_GB2312" w:cs="仿宋_GB2312"/>
          <w:kern w:val="0"/>
          <w:sz w:val="32"/>
          <w:szCs w:val="32"/>
          <w:lang w:val="en-US" w:eastAsia="zh-CN" w:bidi="ar-SA"/>
        </w:rPr>
        <w:t xml:space="preserve">  </w:t>
      </w:r>
      <w:r>
        <w:rPr>
          <w:rFonts w:hint="eastAsia" w:ascii="仿宋_GB2312" w:hAnsi="Calibri" w:eastAsia="仿宋_GB2312" w:cs="仿宋_GB2312"/>
          <w:kern w:val="0"/>
          <w:sz w:val="32"/>
          <w:szCs w:val="32"/>
          <w:lang w:val="en-US" w:eastAsia="zh-CN" w:bidi="ar-SA"/>
        </w:rPr>
        <w:t xml:space="preserve"> </w:t>
      </w:r>
      <w:r>
        <w:rPr>
          <w:rFonts w:hint="default" w:ascii="仿宋_GB2312" w:hAnsi="Calibri" w:eastAsia="仿宋_GB2312" w:cs="仿宋_GB2312"/>
          <w:kern w:val="0"/>
          <w:sz w:val="32"/>
          <w:szCs w:val="32"/>
          <w:lang w:val="en-US" w:eastAsia="zh-CN" w:bidi="ar-SA"/>
        </w:rPr>
        <w:t>2.从决算单位构成看，纳入本部门（单位）决算编制范围的预算单位共计</w:t>
      </w:r>
      <w:r>
        <w:rPr>
          <w:rFonts w:hint="eastAsia" w:ascii="仿宋_GB2312" w:hAnsi="Calibri" w:eastAsia="仿宋_GB2312" w:cs="仿宋_GB2312"/>
          <w:kern w:val="0"/>
          <w:sz w:val="32"/>
          <w:szCs w:val="32"/>
          <w:lang w:val="en-US" w:eastAsia="zh-CN" w:bidi="ar-SA"/>
        </w:rPr>
        <w:t>1</w:t>
      </w:r>
      <w:r>
        <w:rPr>
          <w:rFonts w:hint="default" w:ascii="仿宋_GB2312" w:hAnsi="Calibri" w:eastAsia="仿宋_GB2312" w:cs="仿宋_GB2312"/>
          <w:kern w:val="0"/>
          <w:sz w:val="32"/>
          <w:szCs w:val="32"/>
          <w:lang w:val="en-US" w:eastAsia="zh-CN" w:bidi="ar-SA"/>
        </w:rPr>
        <w:t>家，具体包括：</w:t>
      </w:r>
      <w:r>
        <w:rPr>
          <w:rFonts w:hint="eastAsia" w:ascii="仿宋_GB2312" w:hAnsi="Calibri" w:eastAsia="仿宋_GB2312" w:cs="仿宋_GB2312"/>
          <w:kern w:val="0"/>
          <w:sz w:val="32"/>
          <w:szCs w:val="32"/>
          <w:lang w:val="en-US" w:eastAsia="zh-CN" w:bidi="ar-SA"/>
        </w:rPr>
        <w:t>乌拉特前旗人民检察院</w:t>
      </w:r>
      <w:r>
        <w:rPr>
          <w:rFonts w:hint="default" w:ascii="仿宋_GB2312" w:hAnsi="Calibri" w:eastAsia="仿宋_GB2312" w:cs="仿宋_GB2312"/>
          <w:kern w:val="0"/>
          <w:sz w:val="32"/>
          <w:szCs w:val="32"/>
          <w:lang w:val="en-US" w:eastAsia="zh-CN" w:bidi="ar-SA"/>
        </w:rPr>
        <w:t>部门本级。详细情况见表：</w:t>
      </w:r>
    </w:p>
    <w:tbl>
      <w:tblPr>
        <w:tblStyle w:val="20"/>
        <w:tblW w:w="10579"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230"/>
        <w:gridCol w:w="6110"/>
        <w:gridCol w:w="3239"/>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535" w:hRule="atLeast"/>
          <w:tblHeader/>
          <w:tblCellSpacing w:w="15" w:type="dxa"/>
          <w:jc w:val="center"/>
        </w:trPr>
        <w:tc>
          <w:tcPr>
            <w:tcW w:w="118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08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194"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24" w:hRule="atLeast"/>
          <w:tblCellSpacing w:w="15" w:type="dxa"/>
          <w:jc w:val="center"/>
        </w:trPr>
        <w:tc>
          <w:tcPr>
            <w:tcW w:w="118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608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rPr>
              <w:t>乌拉特前旗人民检察院</w:t>
            </w:r>
          </w:p>
        </w:tc>
        <w:tc>
          <w:tcPr>
            <w:tcW w:w="3194"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行政单位</w:t>
            </w:r>
          </w:p>
        </w:tc>
      </w:tr>
    </w:tbl>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hint="eastAsia" w:ascii="楷体" w:hAnsi="楷体" w:eastAsia="楷体" w:cs="楷体"/>
          <w:b w:val="0"/>
          <w:bCs w:val="0"/>
          <w:kern w:val="0"/>
          <w:sz w:val="32"/>
          <w:szCs w:val="32"/>
        </w:rPr>
        <w:t xml:space="preserve">   </w:t>
      </w:r>
      <w:r>
        <w:rPr>
          <w:rFonts w:hint="eastAsia" w:ascii="楷体" w:hAnsi="楷体" w:eastAsia="楷体" w:cs="楷体"/>
          <w:b/>
          <w:bCs/>
          <w:kern w:val="0"/>
          <w:sz w:val="32"/>
          <w:szCs w:val="32"/>
        </w:rPr>
        <w:t xml:space="preserve">   三、2024年度部门（单位）主要工作完成情况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（部门（单位）根据年度工作计划及完成情况进行表述）</w:t>
      </w:r>
    </w:p>
    <w:p>
      <w:pPr>
        <w:widowControl/>
        <w:spacing w:before="240" w:after="240"/>
        <w:jc w:val="left"/>
        <w:rPr>
          <w:rFonts w:ascii="Times New Roman" w:hAnsi="Times New Roman" w:eastAsia="Times New Roman" w:cs="Times New Roman"/>
          <w:kern w:val="0"/>
          <w:sz w:val="24"/>
        </w:rPr>
      </w:pP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pPr>
        <w:widowControl/>
        <w:spacing w:before="240" w:after="240"/>
        <w:jc w:val="left"/>
        <w:rPr>
          <w:rFonts w:ascii="Times New Roman" w:hAnsi="Times New Roman" w:eastAsia="Times New Roman" w:cs="Times New Roman"/>
          <w:kern w:val="0"/>
          <w:sz w:val="24"/>
        </w:rPr>
      </w:pPr>
      <w:r>
        <w:rPr>
          <w:rFonts w:hint="eastAsia" w:ascii="楷体" w:hAnsi="楷体" w:eastAsia="楷体" w:cs="楷体"/>
          <w:b w:val="0"/>
          <w:bCs w:val="0"/>
          <w:kern w:val="0"/>
          <w:sz w:val="32"/>
          <w:szCs w:val="32"/>
        </w:rPr>
        <w:t>   </w:t>
      </w:r>
      <w:r>
        <w:rPr>
          <w:rFonts w:hint="eastAsia" w:ascii="楷体" w:hAnsi="楷体" w:eastAsia="楷体" w:cs="楷体"/>
          <w:b/>
          <w:bCs/>
          <w:kern w:val="0"/>
          <w:sz w:val="32"/>
          <w:szCs w:val="32"/>
        </w:rPr>
        <w:t xml:space="preserve"> 一、收入支出决算总体情况说明</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w:t>
      </w:r>
      <w:r>
        <w:rPr>
          <w:rFonts w:hint="default" w:ascii="仿宋_GB2312" w:hAnsi="Calibri" w:eastAsia="仿宋_GB2312" w:cs="仿宋_GB2312"/>
          <w:kern w:val="0"/>
          <w:sz w:val="32"/>
          <w:szCs w:val="32"/>
          <w:lang w:val="en-US" w:eastAsia="zh-CN" w:bidi="ar-SA"/>
        </w:rPr>
        <w:t>乌拉特前旗人民检察院 2024年度收入、支出决算总计均为 1554.37万元。与年初预算相比，收、支总计各增加138.57万元，增长 9.79%，变动原因：</w:t>
      </w:r>
      <w:r>
        <w:rPr>
          <w:rFonts w:hint="eastAsia" w:ascii="仿宋_GB2312" w:hAnsi="Calibri" w:eastAsia="仿宋_GB2312" w:cs="仿宋_GB2312"/>
          <w:kern w:val="0"/>
          <w:sz w:val="32"/>
          <w:szCs w:val="32"/>
          <w:lang w:val="en-US" w:eastAsia="zh-CN" w:bidi="ar-SA"/>
        </w:rPr>
        <w:t>新增6名新考录公务员以及调整艰苦边远补助，基本支出增加</w:t>
      </w:r>
      <w:r>
        <w:rPr>
          <w:rFonts w:hint="default" w:ascii="仿宋_GB2312" w:hAnsi="Calibri" w:eastAsia="仿宋_GB2312" w:cs="仿宋_GB2312"/>
          <w:kern w:val="0"/>
          <w:sz w:val="32"/>
          <w:szCs w:val="32"/>
          <w:lang w:val="en-US" w:eastAsia="zh-CN" w:bidi="ar-SA"/>
        </w:rPr>
        <w:t>；与上年决算相比，收、支总计各减少65.42万元，下降4.04%。其中：</w:t>
      </w:r>
    </w:p>
    <w:p>
      <w:pPr>
        <w:widowControl/>
        <w:spacing w:before="240" w:after="240"/>
        <w:jc w:val="left"/>
        <w:rPr>
          <w:rFonts w:hint="eastAsia" w:ascii="仿宋" w:hAnsi="仿宋" w:eastAsia="仿宋" w:cs="仿宋"/>
          <w:b/>
          <w:bCs/>
          <w:color w:val="000000"/>
          <w:kern w:val="0"/>
          <w:sz w:val="32"/>
          <w:szCs w:val="32"/>
        </w:rPr>
      </w:pPr>
      <w:r>
        <w:rPr>
          <w:rFonts w:ascii="kai_ti_gb2312" w:hAnsi="kai_ti_gb2312" w:eastAsia="kai_ti_gb2312" w:cs="kai_ti_gb2312"/>
          <w:b/>
          <w:bCs/>
          <w:color w:val="000000"/>
          <w:kern w:val="0"/>
          <w:sz w:val="27"/>
          <w:szCs w:val="27"/>
        </w:rPr>
        <w:t xml:space="preserve">    </w:t>
      </w:r>
      <w:r>
        <w:rPr>
          <w:rFonts w:hint="eastAsia" w:ascii="仿宋" w:hAnsi="仿宋" w:eastAsia="仿宋" w:cs="仿宋"/>
          <w:b/>
          <w:bCs/>
          <w:color w:val="000000"/>
          <w:kern w:val="0"/>
          <w:sz w:val="32"/>
          <w:szCs w:val="32"/>
        </w:rPr>
        <w:t>（一）收入决算总计 1554.37万元。包括：</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color w:val="000000"/>
          <w:kern w:val="0"/>
          <w:sz w:val="27"/>
          <w:szCs w:val="27"/>
        </w:rPr>
        <w:t>   </w:t>
      </w:r>
      <w:r>
        <w:rPr>
          <w:rFonts w:hint="default" w:ascii="仿宋_GB2312" w:hAnsi="Calibri" w:eastAsia="仿宋_GB2312" w:cs="仿宋_GB2312"/>
          <w:kern w:val="0"/>
          <w:sz w:val="32"/>
          <w:szCs w:val="32"/>
          <w:lang w:val="en-US" w:eastAsia="zh-CN" w:bidi="ar-SA"/>
        </w:rPr>
        <w:t xml:space="preserve"> 1.本年收入决算合计 1492.13万元。与上年决算相比，减少51.81万元，下降3.36%，变动原因：</w:t>
      </w:r>
      <w:r>
        <w:rPr>
          <w:rFonts w:hint="eastAsia" w:ascii="仿宋_GB2312" w:hAnsi="Calibri" w:eastAsia="仿宋_GB2312" w:cs="仿宋_GB2312"/>
          <w:kern w:val="0"/>
          <w:sz w:val="32"/>
          <w:szCs w:val="32"/>
          <w:lang w:val="en-US" w:eastAsia="zh-CN" w:bidi="ar-SA"/>
        </w:rPr>
        <w:t>退休人员、调出人员10人，工资经补贴等减少，项目经费缩减，支出减少</w:t>
      </w:r>
      <w:r>
        <w:rPr>
          <w:rFonts w:hint="default" w:ascii="仿宋_GB2312" w:hAnsi="Calibri" w:eastAsia="仿宋_GB2312" w:cs="仿宋_GB2312"/>
          <w:kern w:val="0"/>
          <w:sz w:val="32"/>
          <w:szCs w:val="32"/>
          <w:lang w:val="en-US" w:eastAsia="zh-CN" w:bidi="ar-SA"/>
        </w:rPr>
        <w:t>。</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2.使用非财政拨款结余（含专用结余） 0万元。与上年决算相比，增加 0万元，增长 0%，变动原因：</w:t>
      </w:r>
      <w:r>
        <w:rPr>
          <w:rFonts w:hint="default" w:ascii="仿宋_GB2312" w:hAnsi="仿宋" w:eastAsia="仿宋_GB2312" w:cs="仿宋_GB2312"/>
          <w:kern w:val="0"/>
          <w:sz w:val="32"/>
          <w:szCs w:val="32"/>
        </w:rPr>
        <w:t>不存在此项内容。</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3.年初结转和结余 62.24万元。与上年决算相比，减少13.61万元，下降17.94%，变动原因：</w:t>
      </w:r>
      <w:r>
        <w:rPr>
          <w:rFonts w:hint="eastAsia" w:ascii="仿宋_GB2312" w:hAnsi="Calibri" w:eastAsia="仿宋_GB2312" w:cs="仿宋_GB2312"/>
          <w:kern w:val="0"/>
          <w:sz w:val="32"/>
          <w:szCs w:val="32"/>
          <w:lang w:val="en-US" w:eastAsia="zh-CN" w:bidi="ar-SA"/>
        </w:rPr>
        <w:t>办公大楼维修改造使用该笔经费</w:t>
      </w:r>
      <w:r>
        <w:rPr>
          <w:rFonts w:hint="default" w:ascii="仿宋_GB2312" w:hAnsi="Calibri" w:eastAsia="仿宋_GB2312" w:cs="仿宋_GB2312"/>
          <w:kern w:val="0"/>
          <w:sz w:val="32"/>
          <w:szCs w:val="32"/>
          <w:lang w:val="en-US" w:eastAsia="zh-CN" w:bidi="ar-SA"/>
        </w:rPr>
        <w:t>。</w:t>
      </w:r>
    </w:p>
    <w:p>
      <w:pPr>
        <w:widowControl/>
        <w:spacing w:before="240" w:after="240"/>
        <w:jc w:val="left"/>
        <w:rPr>
          <w:rFonts w:hint="eastAsia" w:ascii="仿宋" w:hAnsi="仿宋" w:eastAsia="仿宋" w:cs="仿宋"/>
          <w:b/>
          <w:bCs/>
          <w:color w:val="000000"/>
          <w:kern w:val="0"/>
          <w:sz w:val="32"/>
          <w:szCs w:val="32"/>
        </w:rPr>
      </w:pPr>
      <w:r>
        <w:rPr>
          <w:rFonts w:ascii="kai_ti_gb2312" w:hAnsi="kai_ti_gb2312" w:eastAsia="kai_ti_gb2312" w:cs="kai_ti_gb2312"/>
          <w:b/>
          <w:bCs/>
          <w:color w:val="000000"/>
          <w:kern w:val="0"/>
          <w:sz w:val="27"/>
          <w:szCs w:val="27"/>
        </w:rPr>
        <w:t xml:space="preserve">  </w:t>
      </w:r>
      <w:r>
        <w:rPr>
          <w:rFonts w:hint="eastAsia" w:ascii="仿宋" w:hAnsi="仿宋" w:eastAsia="仿宋" w:cs="仿宋"/>
          <w:b/>
          <w:bCs/>
          <w:color w:val="000000"/>
          <w:kern w:val="0"/>
          <w:sz w:val="32"/>
          <w:szCs w:val="32"/>
        </w:rPr>
        <w:t>  （二）支出决算总计 1554.37万元。包括：</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color w:val="000000"/>
          <w:kern w:val="0"/>
          <w:sz w:val="27"/>
          <w:szCs w:val="27"/>
        </w:rPr>
        <w:t>   </w:t>
      </w:r>
      <w:r>
        <w:rPr>
          <w:rFonts w:hint="default" w:ascii="仿宋_GB2312" w:hAnsi="Calibri" w:eastAsia="仿宋_GB2312" w:cs="仿宋_GB2312"/>
          <w:kern w:val="0"/>
          <w:sz w:val="32"/>
          <w:szCs w:val="32"/>
          <w:lang w:val="en-US" w:eastAsia="zh-CN" w:bidi="ar-SA"/>
        </w:rPr>
        <w:t xml:space="preserve"> 1.本年支出决算合计 1473.41万元。与上年决算相比，减少84.14万元，下降5.40%，变动原因：</w:t>
      </w:r>
      <w:r>
        <w:rPr>
          <w:rFonts w:hint="eastAsia" w:ascii="仿宋_GB2312" w:hAnsi="Calibri" w:eastAsia="仿宋_GB2312" w:cs="仿宋_GB2312"/>
          <w:kern w:val="0"/>
          <w:sz w:val="32"/>
          <w:szCs w:val="32"/>
          <w:lang w:val="en-US" w:eastAsia="zh-CN" w:bidi="ar-SA"/>
        </w:rPr>
        <w:t>退休人员、调出人员10人，工资经补贴等减少，项目经费缩减，支出减少</w:t>
      </w:r>
      <w:r>
        <w:rPr>
          <w:rFonts w:hint="default" w:ascii="仿宋_GB2312" w:hAnsi="Calibri" w:eastAsia="仿宋_GB2312" w:cs="仿宋_GB2312"/>
          <w:kern w:val="0"/>
          <w:sz w:val="32"/>
          <w:szCs w:val="32"/>
          <w:lang w:val="en-US" w:eastAsia="zh-CN" w:bidi="ar-SA"/>
        </w:rPr>
        <w:t>。</w:t>
      </w:r>
    </w:p>
    <w:p>
      <w:pPr>
        <w:widowControl/>
        <w:spacing w:before="240" w:after="240"/>
        <w:ind w:firstLine="465"/>
        <w:rPr>
          <w:rFonts w:hint="default" w:ascii="仿宋_GB2312" w:hAnsi="仿宋" w:eastAsia="仿宋_GB2312" w:cs="仿宋_GB2312"/>
          <w:kern w:val="0"/>
          <w:sz w:val="32"/>
          <w:szCs w:val="32"/>
        </w:rPr>
      </w:pPr>
      <w:r>
        <w:rPr>
          <w:rFonts w:hint="default" w:ascii="仿宋_GB2312" w:hAnsi="Calibri" w:eastAsia="仿宋_GB2312" w:cs="仿宋_GB2312"/>
          <w:kern w:val="0"/>
          <w:sz w:val="32"/>
          <w:szCs w:val="32"/>
          <w:lang w:val="en-US" w:eastAsia="zh-CN" w:bidi="ar-SA"/>
        </w:rPr>
        <w:t>2.结余分配 0万元。结余分配事项：</w:t>
      </w:r>
      <w:r>
        <w:rPr>
          <w:rFonts w:hint="eastAsia" w:ascii="仿宋_GB2312" w:hAnsi="Calibri" w:eastAsia="仿宋_GB2312" w:cs="仿宋_GB2312"/>
          <w:kern w:val="0"/>
          <w:sz w:val="32"/>
          <w:szCs w:val="32"/>
          <w:lang w:val="en-US" w:eastAsia="zh-CN" w:bidi="ar-SA"/>
        </w:rPr>
        <w:t>不存在此项内容</w:t>
      </w:r>
      <w:r>
        <w:rPr>
          <w:rFonts w:hint="default" w:ascii="仿宋_GB2312" w:hAnsi="Calibri" w:eastAsia="仿宋_GB2312" w:cs="仿宋_GB2312"/>
          <w:kern w:val="0"/>
          <w:sz w:val="32"/>
          <w:szCs w:val="32"/>
          <w:lang w:val="en-US" w:eastAsia="zh-CN" w:bidi="ar-SA"/>
        </w:rPr>
        <w:t>。与上年决算相比，增加0万元，增长 0%，变动原因：</w:t>
      </w:r>
      <w:r>
        <w:rPr>
          <w:rFonts w:hint="default" w:ascii="仿宋_GB2312" w:hAnsi="仿宋" w:eastAsia="仿宋_GB2312" w:cs="仿宋_GB2312"/>
          <w:kern w:val="0"/>
          <w:sz w:val="32"/>
          <w:szCs w:val="32"/>
        </w:rPr>
        <w:t>不存在此项内容。</w:t>
      </w:r>
    </w:p>
    <w:p>
      <w:pPr>
        <w:widowControl/>
        <w:spacing w:before="240" w:after="240"/>
        <w:ind w:firstLine="465"/>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3.年末结转和结余 80.96万元。结余分配事项：</w:t>
      </w:r>
      <w:r>
        <w:rPr>
          <w:rFonts w:hint="eastAsia" w:ascii="仿宋_GB2312" w:hAnsi="Calibri" w:eastAsia="仿宋_GB2312" w:cs="仿宋_GB2312"/>
          <w:kern w:val="0"/>
          <w:sz w:val="32"/>
          <w:szCs w:val="32"/>
          <w:lang w:val="en-US" w:eastAsia="zh-CN" w:bidi="ar-SA"/>
        </w:rPr>
        <w:t>地方财政拨款经费。</w:t>
      </w:r>
      <w:r>
        <w:rPr>
          <w:rFonts w:hint="default" w:ascii="仿宋_GB2312" w:hAnsi="Calibri" w:eastAsia="仿宋_GB2312" w:cs="仿宋_GB2312"/>
          <w:kern w:val="0"/>
          <w:sz w:val="32"/>
          <w:szCs w:val="32"/>
          <w:lang w:val="en-US" w:eastAsia="zh-CN" w:bidi="ar-SA"/>
        </w:rPr>
        <w:t>与上年决算相比，增加18.73万元，增长 30.09%，变动原因：</w:t>
      </w:r>
      <w:r>
        <w:rPr>
          <w:rFonts w:hint="eastAsia" w:ascii="仿宋_GB2312" w:hAnsi="Calibri" w:eastAsia="仿宋_GB2312" w:cs="仿宋_GB2312"/>
          <w:kern w:val="0"/>
          <w:sz w:val="32"/>
          <w:szCs w:val="32"/>
          <w:lang w:val="en-US" w:eastAsia="zh-CN" w:bidi="ar-SA"/>
        </w:rPr>
        <w:t>地方财政拨款收入增加</w:t>
      </w:r>
      <w:r>
        <w:rPr>
          <w:rFonts w:hint="default" w:ascii="仿宋_GB2312" w:hAnsi="Calibri" w:eastAsia="仿宋_GB2312" w:cs="仿宋_GB2312"/>
          <w:kern w:val="0"/>
          <w:sz w:val="32"/>
          <w:szCs w:val="32"/>
          <w:lang w:val="en-US" w:eastAsia="zh-CN" w:bidi="ar-SA"/>
        </w:rPr>
        <w:t>。</w:t>
      </w:r>
    </w:p>
    <w:p>
      <w:pPr>
        <w:widowControl/>
        <w:spacing w:before="240" w:after="240"/>
        <w:jc w:val="left"/>
        <w:rPr>
          <w:rFonts w:hint="eastAsia" w:ascii="楷体" w:hAnsi="楷体" w:eastAsia="楷体" w:cs="楷体"/>
          <w:b/>
          <w:bCs/>
          <w:kern w:val="0"/>
          <w:sz w:val="32"/>
          <w:szCs w:val="32"/>
        </w:rPr>
      </w:pPr>
      <w:r>
        <w:rPr>
          <w:rFonts w:ascii="仿宋_GB2312" w:hAnsi="仿宋_GB2312" w:eastAsia="仿宋_GB2312" w:cs="仿宋_GB2312"/>
          <w:color w:val="0E00FE"/>
          <w:kern w:val="0"/>
          <w:sz w:val="27"/>
          <w:szCs w:val="27"/>
        </w:rPr>
        <w:t xml:space="preserve">    </w:t>
      </w:r>
      <w:r>
        <w:rPr>
          <w:rFonts w:hint="eastAsia" w:ascii="楷体" w:hAnsi="楷体" w:eastAsia="楷体" w:cs="楷体"/>
          <w:b/>
          <w:bCs/>
          <w:kern w:val="0"/>
          <w:sz w:val="32"/>
          <w:szCs w:val="32"/>
        </w:rPr>
        <w:t>    二、收入决算情况说明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hint="default" w:ascii="仿宋_GB2312" w:hAnsi="Calibri" w:eastAsia="仿宋_GB2312" w:cs="仿宋_GB2312"/>
          <w:kern w:val="0"/>
          <w:sz w:val="32"/>
          <w:szCs w:val="32"/>
          <w:lang w:val="en-US" w:eastAsia="zh-CN" w:bidi="ar-SA"/>
        </w:rPr>
        <w:t>乌拉特前旗人民检察院 2024年度本年收入决算合计 1492.13万元，其中：</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本年一般公共预算财政拨款收入 1360.32万元，占 91.17%；</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本年政府性基金预算财政拨款收入 0万元，占 0%；</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本年国有资本经营预算财政拨款收入 0万元，占 0%；</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本年上级补助收入 0万元，占 0%；</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本年事业收入 0万元，占 0%；</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本年经营收入 0万元，占 0%；</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本年附属单位上缴收入 0万元，占 0%；</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本年其他收入 131.81万元，占 8.83%。</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alt="" type="#_x0000_t75" style="height:285.6pt;width:456.95pt;" filled="f" o:preferrelative="t" stroked="f" coordsize="21600,21600">
            <v:path/>
            <v:fill on="f" focussize="0,0"/>
            <v:stroke on="f"/>
            <v:imagedata r:id="rId6"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hint="eastAsia" w:ascii="楷体" w:hAnsi="楷体" w:eastAsia="楷体" w:cs="楷体"/>
          <w:b w:val="0"/>
          <w:bCs w:val="0"/>
          <w:kern w:val="0"/>
          <w:sz w:val="32"/>
          <w:szCs w:val="32"/>
        </w:rPr>
        <w:t xml:space="preserve">   </w:t>
      </w:r>
      <w:r>
        <w:rPr>
          <w:rFonts w:hint="eastAsia" w:ascii="楷体" w:hAnsi="楷体" w:eastAsia="楷体" w:cs="楷体"/>
          <w:b/>
          <w:bCs/>
          <w:kern w:val="0"/>
          <w:sz w:val="32"/>
          <w:szCs w:val="32"/>
        </w:rPr>
        <w:t>三、支出决算情况说明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hint="default" w:ascii="仿宋_GB2312" w:hAnsi="Calibri" w:eastAsia="仿宋_GB2312" w:cs="仿宋_GB2312"/>
          <w:kern w:val="0"/>
          <w:sz w:val="32"/>
          <w:szCs w:val="32"/>
          <w:lang w:val="en-US" w:eastAsia="zh-CN" w:bidi="ar-SA"/>
        </w:rPr>
        <w:t>乌拉特前旗人民检察院 2024年度本年支出决算合计 1473.41万元，其中：</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本年基本支出 1047.13万元，占 71.07%；</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本年项目支出 426.28万元，占 28.93%；</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本年上缴上级支出 0万元，占 0%；</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本年经营支出 0万元，占 0%；</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本年对附属单位补助支出 0万元，占 0%。</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alt="" type="#_x0000_t75" style="height:281.25pt;width:450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楷体" w:hAnsi="楷体" w:eastAsia="楷体" w:cs="楷体"/>
          <w:b w:val="0"/>
          <w:bCs w:val="0"/>
          <w:kern w:val="0"/>
          <w:sz w:val="32"/>
          <w:szCs w:val="32"/>
        </w:rPr>
        <w:t xml:space="preserve"> </w:t>
      </w:r>
      <w:r>
        <w:rPr>
          <w:rFonts w:hint="eastAsia" w:ascii="楷体" w:hAnsi="楷体" w:eastAsia="楷体" w:cs="楷体"/>
          <w:b/>
          <w:bCs/>
          <w:kern w:val="0"/>
          <w:sz w:val="32"/>
          <w:szCs w:val="32"/>
        </w:rPr>
        <w:t>四、财政拨款收入支出决算总体情况说明</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default" w:ascii="仿宋_GB2312" w:hAnsi="Calibri" w:eastAsia="仿宋_GB2312" w:cs="仿宋_GB2312"/>
          <w:kern w:val="0"/>
          <w:sz w:val="32"/>
          <w:szCs w:val="32"/>
          <w:lang w:val="en-US" w:eastAsia="zh-CN" w:bidi="ar-SA"/>
        </w:rPr>
        <w:t>乌拉特前旗人民检察院 2024年度财政拨款收入、支出决算总计均为 1383.86万元，与年初预算相比，收、支总计各减少31.94万元，下降2.26%，变动原因：</w:t>
      </w:r>
      <w:r>
        <w:rPr>
          <w:rFonts w:hint="eastAsia" w:ascii="仿宋_GB2312" w:hAnsi="Calibri" w:eastAsia="仿宋_GB2312" w:cs="仿宋_GB2312"/>
          <w:kern w:val="0"/>
          <w:sz w:val="32"/>
          <w:szCs w:val="32"/>
          <w:lang w:val="en-US" w:eastAsia="zh-CN" w:bidi="ar-SA"/>
        </w:rPr>
        <w:t>退休人员、调出人员10人，工资经补贴等减少</w:t>
      </w:r>
      <w:r>
        <w:rPr>
          <w:rFonts w:hint="default" w:ascii="仿宋_GB2312" w:hAnsi="Calibri" w:eastAsia="仿宋_GB2312" w:cs="仿宋_GB2312"/>
          <w:kern w:val="0"/>
          <w:sz w:val="32"/>
          <w:szCs w:val="32"/>
          <w:lang w:val="en-US" w:eastAsia="zh-CN" w:bidi="ar-SA"/>
        </w:rPr>
        <w:t>；与上年决算相比，收、支总计各减少34.03万元，下降2.40%，变动原因：</w:t>
      </w:r>
      <w:r>
        <w:rPr>
          <w:rFonts w:hint="eastAsia" w:ascii="仿宋_GB2312" w:hAnsi="Calibri" w:eastAsia="仿宋_GB2312" w:cs="仿宋_GB2312"/>
          <w:kern w:val="0"/>
          <w:sz w:val="32"/>
          <w:szCs w:val="32"/>
          <w:lang w:val="en-US" w:eastAsia="zh-CN" w:bidi="ar-SA"/>
        </w:rPr>
        <w:t>退休人员、调出人员10人，工资经补贴等减少，项目经费缩减，支出减少</w:t>
      </w:r>
      <w:r>
        <w:rPr>
          <w:rFonts w:hint="default" w:ascii="仿宋_GB2312" w:hAnsi="Calibri" w:eastAsia="仿宋_GB2312" w:cs="仿宋_GB2312"/>
          <w:kern w:val="0"/>
          <w:sz w:val="32"/>
          <w:szCs w:val="32"/>
          <w:lang w:val="en-US" w:eastAsia="zh-CN" w:bidi="ar-SA"/>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楷体" w:hAnsi="楷体" w:eastAsia="楷体" w:cs="楷体"/>
          <w:b/>
          <w:bCs/>
          <w:kern w:val="0"/>
          <w:sz w:val="32"/>
          <w:szCs w:val="32"/>
        </w:rPr>
        <w:t>五、一般公共预算财政拨款支出决算情况说明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kern w:val="0"/>
          <w:sz w:val="27"/>
          <w:szCs w:val="27"/>
        </w:rPr>
        <w:t xml:space="preserve">    </w:t>
      </w:r>
      <w:r>
        <w:rPr>
          <w:rFonts w:hint="default" w:ascii="仿宋_GB2312" w:hAnsi="Calibri" w:eastAsia="仿宋_GB2312" w:cs="仿宋_GB2312"/>
          <w:kern w:val="0"/>
          <w:sz w:val="32"/>
          <w:szCs w:val="32"/>
          <w:lang w:val="en-US" w:eastAsia="zh-CN" w:bidi="ar-SA"/>
        </w:rPr>
        <w:t>乌拉特前旗人民检察院 2024年度一般公共预算财政拨款支出决算 1360.32万元。与年初预算 1415.80万元相比，完成年初预算的 96.08%。其中：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仿宋" w:hAnsi="仿宋" w:eastAsia="仿宋" w:cs="仿宋"/>
          <w:b/>
          <w:bCs/>
          <w:color w:val="000000"/>
          <w:kern w:val="0"/>
          <w:sz w:val="32"/>
          <w:szCs w:val="32"/>
        </w:rPr>
        <w:t xml:space="preserve"> （一）公共安全（类）</w:t>
      </w:r>
    </w:p>
    <w:p>
      <w:pPr>
        <w:widowControl/>
        <w:spacing w:before="240" w:after="240"/>
        <w:rPr>
          <w:rFonts w:hint="eastAsia" w:ascii="仿宋" w:hAnsi="仿宋" w:eastAsia="仿宋" w:cs="仿宋"/>
          <w:kern w:val="0"/>
          <w:sz w:val="32"/>
          <w:szCs w:val="32"/>
          <w:lang w:eastAsia="zh-CN"/>
        </w:rPr>
      </w:pPr>
      <w:r>
        <w:rPr>
          <w:rFonts w:ascii="仿宋_GB2312" w:hAnsi="仿宋_GB2312" w:eastAsia="仿宋_GB2312" w:cs="仿宋_GB2312"/>
          <w:color w:val="000000"/>
          <w:kern w:val="0"/>
          <w:sz w:val="27"/>
          <w:szCs w:val="27"/>
        </w:rPr>
        <w:t>   </w:t>
      </w:r>
      <w:r>
        <w:rPr>
          <w:rFonts w:hint="default" w:ascii="仿宋_GB2312" w:hAnsi="Calibri" w:eastAsia="仿宋_GB2312" w:cs="仿宋_GB2312"/>
          <w:kern w:val="0"/>
          <w:sz w:val="32"/>
          <w:szCs w:val="32"/>
          <w:lang w:val="en-US" w:eastAsia="zh-CN" w:bidi="ar-SA"/>
        </w:rPr>
        <w:t xml:space="preserve"> 一般公共</w:t>
      </w:r>
      <w:r>
        <w:rPr>
          <w:rFonts w:hint="eastAsia" w:ascii="仿宋_GB2312" w:hAnsi="Calibri" w:eastAsia="仿宋_GB2312" w:cs="仿宋_GB2312"/>
          <w:kern w:val="0"/>
          <w:sz w:val="32"/>
          <w:szCs w:val="32"/>
          <w:lang w:val="en-US" w:eastAsia="zh-CN" w:bidi="ar-SA"/>
        </w:rPr>
        <w:t>安全</w:t>
      </w:r>
      <w:r>
        <w:rPr>
          <w:rFonts w:hint="default" w:ascii="仿宋_GB2312" w:hAnsi="Calibri" w:eastAsia="仿宋_GB2312" w:cs="仿宋_GB2312"/>
          <w:kern w:val="0"/>
          <w:sz w:val="32"/>
          <w:szCs w:val="32"/>
          <w:lang w:val="en-US" w:eastAsia="zh-CN" w:bidi="ar-SA"/>
        </w:rPr>
        <w:t>（类）决算数为</w:t>
      </w:r>
      <w:r>
        <w:rPr>
          <w:rFonts w:hint="eastAsia" w:ascii="仿宋_GB2312" w:hAnsi="Calibri" w:eastAsia="仿宋_GB2312" w:cs="仿宋_GB2312"/>
          <w:kern w:val="0"/>
          <w:sz w:val="32"/>
          <w:szCs w:val="32"/>
          <w:lang w:val="en-US" w:eastAsia="zh-CN" w:bidi="ar-SA"/>
        </w:rPr>
        <w:t>1181.15</w:t>
      </w:r>
      <w:r>
        <w:rPr>
          <w:rFonts w:hint="default" w:ascii="仿宋_GB2312" w:hAnsi="Calibri" w:eastAsia="仿宋_GB2312" w:cs="仿宋_GB2312"/>
          <w:kern w:val="0"/>
          <w:sz w:val="32"/>
          <w:szCs w:val="32"/>
          <w:lang w:val="en-US" w:eastAsia="zh-CN" w:bidi="ar-SA"/>
        </w:rPr>
        <w:t>万元，与年初预算相比减少</w:t>
      </w:r>
      <w:r>
        <w:rPr>
          <w:rFonts w:hint="eastAsia" w:ascii="仿宋_GB2312" w:hAnsi="Calibri" w:eastAsia="仿宋_GB2312" w:cs="仿宋_GB2312"/>
          <w:kern w:val="0"/>
          <w:sz w:val="32"/>
          <w:szCs w:val="32"/>
          <w:lang w:val="en-US" w:eastAsia="zh-CN" w:bidi="ar-SA"/>
        </w:rPr>
        <w:t>43.93</w:t>
      </w:r>
      <w:r>
        <w:rPr>
          <w:rFonts w:hint="default" w:ascii="仿宋_GB2312" w:hAnsi="Calibri" w:eastAsia="仿宋_GB2312" w:cs="仿宋_GB2312"/>
          <w:kern w:val="0"/>
          <w:sz w:val="32"/>
          <w:szCs w:val="32"/>
          <w:lang w:val="en-US" w:eastAsia="zh-CN" w:bidi="ar-SA"/>
        </w:rPr>
        <w:t>万元。其中：</w:t>
      </w:r>
    </w:p>
    <w:p>
      <w:pPr>
        <w:keepNext w:val="0"/>
        <w:keepLines w:val="0"/>
        <w:pageBreakBefore w:val="0"/>
        <w:widowControl/>
        <w:numPr>
          <w:ilvl w:val="0"/>
          <w:numId w:val="1"/>
        </w:numPr>
        <w:kinsoku/>
        <w:wordWrap/>
        <w:overflowPunct/>
        <w:topLinePunct w:val="0"/>
        <w:autoSpaceDE/>
        <w:autoSpaceDN/>
        <w:bidi w:val="0"/>
        <w:adjustRightInd/>
        <w:snapToGrid/>
        <w:spacing w:before="240" w:after="240"/>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检察（款）行政运行（项）。年初预算</w:t>
      </w:r>
      <w:r>
        <w:rPr>
          <w:rFonts w:hint="eastAsia" w:ascii="仿宋" w:hAnsi="仿宋" w:eastAsia="仿宋" w:cs="仿宋"/>
          <w:kern w:val="0"/>
          <w:sz w:val="32"/>
          <w:szCs w:val="32"/>
          <w:lang w:val="en-US" w:eastAsia="zh-CN"/>
        </w:rPr>
        <w:t>800.08</w:t>
      </w:r>
      <w:r>
        <w:rPr>
          <w:rFonts w:hint="eastAsia" w:ascii="仿宋" w:hAnsi="仿宋" w:eastAsia="仿宋" w:cs="仿宋"/>
          <w:kern w:val="0"/>
          <w:sz w:val="32"/>
          <w:szCs w:val="32"/>
          <w:lang w:eastAsia="zh-CN"/>
        </w:rPr>
        <w:t>万元，支出决算</w:t>
      </w:r>
      <w:r>
        <w:rPr>
          <w:rFonts w:hint="eastAsia" w:ascii="仿宋" w:hAnsi="仿宋" w:eastAsia="仿宋" w:cs="仿宋"/>
          <w:kern w:val="0"/>
          <w:sz w:val="32"/>
          <w:szCs w:val="32"/>
          <w:lang w:val="en-US" w:eastAsia="zh-CN"/>
        </w:rPr>
        <w:t>756.15</w:t>
      </w:r>
      <w:r>
        <w:rPr>
          <w:rFonts w:hint="eastAsia" w:ascii="仿宋" w:hAnsi="仿宋" w:eastAsia="仿宋" w:cs="仿宋"/>
          <w:kern w:val="0"/>
          <w:sz w:val="32"/>
          <w:szCs w:val="32"/>
          <w:lang w:eastAsia="zh-CN"/>
        </w:rPr>
        <w:t>万元，完成年初预算的</w:t>
      </w:r>
      <w:r>
        <w:rPr>
          <w:rFonts w:hint="eastAsia" w:ascii="仿宋" w:hAnsi="仿宋" w:eastAsia="仿宋" w:cs="仿宋"/>
          <w:kern w:val="0"/>
          <w:sz w:val="32"/>
          <w:szCs w:val="32"/>
          <w:lang w:val="en-US" w:eastAsia="zh-CN"/>
        </w:rPr>
        <w:t>94.51</w:t>
      </w:r>
      <w:r>
        <w:rPr>
          <w:rFonts w:hint="eastAsia" w:ascii="仿宋" w:hAnsi="仿宋" w:eastAsia="仿宋" w:cs="仿宋"/>
          <w:kern w:val="0"/>
          <w:sz w:val="32"/>
          <w:szCs w:val="32"/>
          <w:lang w:eastAsia="zh-CN"/>
        </w:rPr>
        <w:t>%。决算数与年初预算数的差异原因：本年度存在退休、调出人员工资薪酬支出减少。</w:t>
      </w:r>
    </w:p>
    <w:p>
      <w:pPr>
        <w:keepNext w:val="0"/>
        <w:keepLines w:val="0"/>
        <w:widowControl/>
        <w:suppressLineNumbers w:val="0"/>
        <w:spacing w:before="0" w:beforeAutospacing="1" w:after="0" w:afterAutospacing="1" w:line="560" w:lineRule="atLeast"/>
        <w:ind w:left="0" w:right="0" w:firstLine="640"/>
        <w:jc w:val="both"/>
        <w:rPr>
          <w:rFonts w:hint="eastAsia" w:ascii="仿宋_GB2312" w:hAnsi="仿宋" w:eastAsia="仿宋_GB2312" w:cs="仿宋_GB2312"/>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检察</w:t>
      </w:r>
      <w:r>
        <w:rPr>
          <w:rFonts w:hint="default" w:ascii="仿宋_GB2312" w:hAnsi="仿宋" w:eastAsia="仿宋_GB2312" w:cs="仿宋_GB2312"/>
          <w:kern w:val="0"/>
          <w:sz w:val="32"/>
          <w:szCs w:val="32"/>
        </w:rPr>
        <w:t>（款）一般行政管理事务（项）。年初预算</w:t>
      </w:r>
      <w:r>
        <w:rPr>
          <w:rFonts w:hint="eastAsia" w:ascii="仿宋_GB2312" w:hAnsi="仿宋" w:eastAsia="仿宋_GB2312" w:cs="仿宋_GB2312"/>
          <w:kern w:val="0"/>
          <w:sz w:val="32"/>
          <w:szCs w:val="32"/>
          <w:lang w:val="en-US" w:eastAsia="zh-CN"/>
        </w:rPr>
        <w:t>422.00</w:t>
      </w:r>
      <w:r>
        <w:rPr>
          <w:rFonts w:hint="default" w:ascii="仿宋_GB2312" w:hAnsi="仿宋" w:eastAsia="仿宋_GB2312" w:cs="仿宋_GB2312"/>
          <w:kern w:val="0"/>
          <w:sz w:val="32"/>
          <w:szCs w:val="32"/>
        </w:rPr>
        <w:t>万元，支出决算</w:t>
      </w:r>
      <w:r>
        <w:rPr>
          <w:rFonts w:hint="eastAsia" w:ascii="仿宋_GB2312" w:hAnsi="仿宋" w:eastAsia="仿宋_GB2312" w:cs="宋体"/>
          <w:kern w:val="0"/>
          <w:sz w:val="32"/>
          <w:szCs w:val="32"/>
          <w:lang w:val="en-US" w:eastAsia="zh-CN"/>
        </w:rPr>
        <w:t>418.00</w:t>
      </w:r>
      <w:r>
        <w:rPr>
          <w:rFonts w:hint="default" w:ascii="仿宋_GB2312" w:hAnsi="仿宋" w:eastAsia="仿宋_GB2312" w:cs="仿宋_GB2312"/>
          <w:kern w:val="0"/>
          <w:sz w:val="32"/>
          <w:szCs w:val="32"/>
        </w:rPr>
        <w:t>万元，完成年初预算的</w:t>
      </w:r>
      <w:r>
        <w:rPr>
          <w:rFonts w:hint="eastAsia" w:ascii="仿宋_GB2312" w:hAnsi="仿宋" w:eastAsia="仿宋_GB2312" w:cs="仿宋_GB2312"/>
          <w:kern w:val="0"/>
          <w:sz w:val="32"/>
          <w:szCs w:val="32"/>
          <w:lang w:val="en-US" w:eastAsia="zh-CN"/>
        </w:rPr>
        <w:t>99.52</w:t>
      </w:r>
      <w:r>
        <w:rPr>
          <w:rFonts w:hint="default" w:ascii="仿宋_GB2312" w:hAnsi="仿宋" w:eastAsia="仿宋_GB2312" w:cs="宋体"/>
          <w:kern w:val="0"/>
          <w:sz w:val="32"/>
          <w:szCs w:val="32"/>
        </w:rPr>
        <w:t>%。决算数与年初预算数的差异原因：</w:t>
      </w:r>
      <w:r>
        <w:rPr>
          <w:rFonts w:hint="eastAsia" w:ascii="仿宋_GB2312" w:hAnsi="仿宋" w:eastAsia="仿宋_GB2312" w:cs="宋体"/>
          <w:kern w:val="0"/>
          <w:sz w:val="32"/>
          <w:szCs w:val="32"/>
          <w:lang w:eastAsia="zh-CN"/>
        </w:rPr>
        <w:t>因实际工作需要，调剂部分资金到</w:t>
      </w:r>
      <w:r>
        <w:rPr>
          <w:rFonts w:hint="eastAsia" w:ascii="仿宋_GB2312" w:hAnsi="仿宋" w:eastAsia="仿宋_GB2312" w:cs="仿宋_GB2312"/>
          <w:kern w:val="0"/>
          <w:sz w:val="32"/>
          <w:szCs w:val="32"/>
          <w:lang w:eastAsia="zh-CN"/>
        </w:rPr>
        <w:t>其他检察支出中</w:t>
      </w:r>
      <w:r>
        <w:rPr>
          <w:rFonts w:hint="default" w:ascii="仿宋_GB2312" w:hAnsi="仿宋" w:eastAsia="仿宋_GB2312" w:cs="仿宋_GB2312"/>
          <w:kern w:val="0"/>
          <w:sz w:val="32"/>
          <w:szCs w:val="32"/>
        </w:rPr>
        <w:t>。</w:t>
      </w:r>
    </w:p>
    <w:p>
      <w:pPr>
        <w:keepNext w:val="0"/>
        <w:keepLines w:val="0"/>
        <w:widowControl/>
        <w:suppressLineNumbers w:val="0"/>
        <w:spacing w:before="0" w:beforeAutospacing="1" w:after="0" w:afterAutospacing="1" w:line="560" w:lineRule="atLeast"/>
        <w:ind w:left="0" w:right="0" w:firstLine="640"/>
        <w:jc w:val="both"/>
        <w:rPr>
          <w:rFonts w:hint="default" w:ascii="仿宋_GB2312" w:hAnsi="Calibri" w:eastAsia="仿宋_GB2312" w:cs="仿宋_GB2312"/>
          <w:kern w:val="0"/>
          <w:sz w:val="32"/>
          <w:szCs w:val="32"/>
          <w:lang w:val="en-US" w:eastAsia="zh-CN" w:bidi="ar-SA"/>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检察</w:t>
      </w:r>
      <w:r>
        <w:rPr>
          <w:rFonts w:hint="default" w:ascii="仿宋_GB2312" w:hAnsi="仿宋" w:eastAsia="仿宋_GB2312" w:cs="仿宋_GB2312"/>
          <w:kern w:val="0"/>
          <w:sz w:val="32"/>
          <w:szCs w:val="32"/>
        </w:rPr>
        <w:t>（款）</w:t>
      </w:r>
      <w:r>
        <w:rPr>
          <w:rFonts w:hint="eastAsia" w:ascii="仿宋_GB2312" w:hAnsi="仿宋" w:eastAsia="仿宋_GB2312" w:cs="仿宋_GB2312"/>
          <w:kern w:val="0"/>
          <w:sz w:val="32"/>
          <w:szCs w:val="32"/>
          <w:lang w:eastAsia="zh-CN"/>
        </w:rPr>
        <w:t>其他检察支出</w:t>
      </w:r>
      <w:r>
        <w:rPr>
          <w:rFonts w:hint="default" w:ascii="仿宋_GB2312" w:hAnsi="仿宋" w:eastAsia="仿宋_GB2312" w:cs="仿宋_GB2312"/>
          <w:kern w:val="0"/>
          <w:sz w:val="32"/>
          <w:szCs w:val="32"/>
        </w:rPr>
        <w:t>（项）。</w:t>
      </w:r>
      <w:r>
        <w:rPr>
          <w:rFonts w:hint="eastAsia" w:ascii="仿宋" w:hAnsi="仿宋" w:eastAsia="仿宋" w:cs="仿宋"/>
          <w:kern w:val="0"/>
          <w:sz w:val="32"/>
          <w:szCs w:val="32"/>
          <w:lang w:eastAsia="zh-CN"/>
        </w:rPr>
        <w:t>年初预算</w:t>
      </w:r>
      <w:r>
        <w:rPr>
          <w:rFonts w:hint="eastAsia" w:ascii="仿宋" w:hAnsi="仿宋" w:eastAsia="仿宋" w:cs="仿宋"/>
          <w:kern w:val="0"/>
          <w:sz w:val="32"/>
          <w:szCs w:val="32"/>
          <w:lang w:val="en-US" w:eastAsia="zh-CN"/>
        </w:rPr>
        <w:t>3.00</w:t>
      </w:r>
      <w:r>
        <w:rPr>
          <w:rFonts w:hint="eastAsia" w:ascii="仿宋" w:hAnsi="仿宋" w:eastAsia="仿宋" w:cs="仿宋"/>
          <w:kern w:val="0"/>
          <w:sz w:val="32"/>
          <w:szCs w:val="32"/>
          <w:lang w:eastAsia="zh-CN"/>
        </w:rPr>
        <w:t>万元，支出决算</w:t>
      </w:r>
      <w:r>
        <w:rPr>
          <w:rFonts w:hint="eastAsia" w:ascii="仿宋" w:hAnsi="仿宋" w:eastAsia="仿宋" w:cs="仿宋"/>
          <w:kern w:val="0"/>
          <w:sz w:val="32"/>
          <w:szCs w:val="32"/>
          <w:lang w:val="en-US" w:eastAsia="zh-CN"/>
        </w:rPr>
        <w:t>7.00</w:t>
      </w:r>
      <w:r>
        <w:rPr>
          <w:rFonts w:hint="eastAsia" w:ascii="仿宋" w:hAnsi="仿宋" w:eastAsia="仿宋" w:cs="仿宋"/>
          <w:kern w:val="0"/>
          <w:sz w:val="32"/>
          <w:szCs w:val="32"/>
          <w:lang w:eastAsia="zh-CN"/>
        </w:rPr>
        <w:t>万元，完成年初预算的</w:t>
      </w:r>
      <w:r>
        <w:rPr>
          <w:rFonts w:hint="eastAsia" w:ascii="仿宋" w:hAnsi="仿宋" w:eastAsia="仿宋" w:cs="仿宋"/>
          <w:kern w:val="0"/>
          <w:sz w:val="32"/>
          <w:szCs w:val="32"/>
          <w:lang w:val="en-US" w:eastAsia="zh-CN"/>
        </w:rPr>
        <w:t>233.33</w:t>
      </w:r>
      <w:r>
        <w:rPr>
          <w:rFonts w:hint="eastAsia" w:ascii="仿宋" w:hAnsi="仿宋" w:eastAsia="仿宋" w:cs="仿宋"/>
          <w:kern w:val="0"/>
          <w:sz w:val="32"/>
          <w:szCs w:val="32"/>
          <w:lang w:eastAsia="zh-CN"/>
        </w:rPr>
        <w:t>%。决算数与年初预算数的差异原因：</w:t>
      </w:r>
      <w:r>
        <w:rPr>
          <w:rFonts w:hint="eastAsia" w:ascii="仿宋_GB2312" w:hAnsi="仿宋" w:eastAsia="仿宋_GB2312" w:cs="宋体"/>
          <w:kern w:val="0"/>
          <w:sz w:val="32"/>
          <w:szCs w:val="32"/>
          <w:lang w:eastAsia="zh-CN"/>
        </w:rPr>
        <w:t>因实际工作需要，增加</w:t>
      </w:r>
      <w:r>
        <w:rPr>
          <w:rFonts w:hint="eastAsia" w:ascii="仿宋_GB2312" w:hAnsi="仿宋" w:eastAsia="仿宋_GB2312" w:cs="仿宋_GB2312"/>
          <w:kern w:val="0"/>
          <w:sz w:val="32"/>
          <w:szCs w:val="32"/>
          <w:lang w:eastAsia="zh-CN"/>
        </w:rPr>
        <w:t>其他检察支出</w:t>
      </w:r>
      <w:r>
        <w:rPr>
          <w:rFonts w:hint="default" w:ascii="仿宋_GB2312" w:hAnsi="仿宋" w:eastAsia="仿宋_GB2312" w:cs="仿宋_GB2312"/>
          <w:kern w:val="0"/>
          <w:sz w:val="32"/>
          <w:szCs w:val="32"/>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仿宋" w:hAnsi="仿宋" w:eastAsia="仿宋" w:cs="仿宋"/>
          <w:b/>
          <w:bCs/>
          <w:color w:val="000000"/>
          <w:kern w:val="0"/>
          <w:sz w:val="32"/>
          <w:szCs w:val="32"/>
        </w:rPr>
        <w:t xml:space="preserve"> （</w:t>
      </w:r>
      <w:r>
        <w:rPr>
          <w:rFonts w:hint="eastAsia" w:ascii="仿宋" w:hAnsi="仿宋" w:eastAsia="仿宋" w:cs="仿宋"/>
          <w:b/>
          <w:bCs/>
          <w:color w:val="000000"/>
          <w:kern w:val="0"/>
          <w:sz w:val="32"/>
          <w:szCs w:val="32"/>
          <w:lang w:eastAsia="zh-CN"/>
        </w:rPr>
        <w:t>二</w:t>
      </w:r>
      <w:r>
        <w:rPr>
          <w:rFonts w:hint="eastAsia" w:ascii="仿宋" w:hAnsi="仿宋" w:eastAsia="仿宋" w:cs="仿宋"/>
          <w:b/>
          <w:bCs/>
          <w:color w:val="000000"/>
          <w:kern w:val="0"/>
          <w:sz w:val="32"/>
          <w:szCs w:val="32"/>
        </w:rPr>
        <w:t>）社会保障和就业支出（类）</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color w:val="000000"/>
          <w:kern w:val="0"/>
          <w:sz w:val="27"/>
          <w:szCs w:val="27"/>
        </w:rPr>
        <w:t xml:space="preserve">    </w:t>
      </w:r>
      <w:r>
        <w:rPr>
          <w:rFonts w:hint="default" w:ascii="仿宋_GB2312" w:hAnsi="Calibri" w:eastAsia="仿宋_GB2312" w:cs="仿宋_GB2312"/>
          <w:kern w:val="0"/>
          <w:sz w:val="32"/>
          <w:szCs w:val="32"/>
          <w:lang w:val="en-US" w:eastAsia="zh-CN" w:bidi="ar-SA"/>
        </w:rPr>
        <w:t>社会保障和就业支出（类）决算数为 76.93万元，与年初预算相比减少2.89万元。其中：</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1．行政事业单位养老支出（款）行政单位离退休（项）。年初预算</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万元，支出决算</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万元，完成年初预算的</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%。决算数与年初预算数的差异原因：</w:t>
      </w:r>
      <w:r>
        <w:rPr>
          <w:rFonts w:hint="eastAsia" w:ascii="仿宋_GB2312" w:hAnsi="Calibri" w:eastAsia="仿宋_GB2312" w:cs="仿宋_GB2312"/>
          <w:kern w:val="0"/>
          <w:sz w:val="32"/>
          <w:szCs w:val="32"/>
          <w:lang w:val="en-US" w:eastAsia="zh-CN" w:bidi="ar-SA"/>
        </w:rPr>
        <w:t>不存在此项内容</w:t>
      </w:r>
      <w:r>
        <w:rPr>
          <w:rFonts w:hint="default" w:ascii="仿宋_GB2312" w:hAnsi="Calibri" w:eastAsia="仿宋_GB2312" w:cs="仿宋_GB2312"/>
          <w:kern w:val="0"/>
          <w:sz w:val="32"/>
          <w:szCs w:val="32"/>
          <w:lang w:val="en-US" w:eastAsia="zh-CN" w:bidi="ar-SA"/>
        </w:rPr>
        <w:t>。</w:t>
      </w:r>
    </w:p>
    <w:p>
      <w:pPr>
        <w:widowControl/>
        <w:spacing w:before="240" w:after="240"/>
        <w:ind w:firstLine="377"/>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2．行政事业单位养老支出（款）事业单位离退休（项）。年初预算</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万元，支出决算</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万元，完成年初预算的</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%。决算数与年初预算数的差异原因：</w:t>
      </w:r>
      <w:r>
        <w:rPr>
          <w:rFonts w:hint="eastAsia" w:ascii="仿宋_GB2312" w:hAnsi="Calibri" w:eastAsia="仿宋_GB2312" w:cs="仿宋_GB2312"/>
          <w:kern w:val="0"/>
          <w:sz w:val="32"/>
          <w:szCs w:val="32"/>
          <w:lang w:val="en-US" w:eastAsia="zh-CN" w:bidi="ar-SA"/>
        </w:rPr>
        <w:t>不存在此项内容</w:t>
      </w:r>
      <w:r>
        <w:rPr>
          <w:rFonts w:hint="default" w:ascii="仿宋_GB2312" w:hAnsi="Calibri" w:eastAsia="仿宋_GB2312" w:cs="仿宋_GB2312"/>
          <w:kern w:val="0"/>
          <w:sz w:val="32"/>
          <w:szCs w:val="32"/>
          <w:lang w:val="en-US" w:eastAsia="zh-CN" w:bidi="ar-SA"/>
        </w:rPr>
        <w:t>。</w:t>
      </w:r>
    </w:p>
    <w:p>
      <w:pPr>
        <w:widowControl/>
        <w:spacing w:before="240" w:after="240"/>
        <w:ind w:firstLine="377"/>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3．行政事业单位养老支出（款）机关事业单位基本养老保险缴费支出（项）。年初预算</w:t>
      </w:r>
      <w:r>
        <w:rPr>
          <w:rFonts w:hint="eastAsia" w:ascii="仿宋_GB2312" w:hAnsi="Calibri" w:eastAsia="仿宋_GB2312" w:cs="仿宋_GB2312"/>
          <w:kern w:val="0"/>
          <w:sz w:val="32"/>
          <w:szCs w:val="32"/>
          <w:lang w:val="en-US" w:eastAsia="zh-CN" w:bidi="ar-SA"/>
        </w:rPr>
        <w:t>53.21</w:t>
      </w:r>
      <w:r>
        <w:rPr>
          <w:rFonts w:hint="default" w:ascii="仿宋_GB2312" w:hAnsi="Calibri" w:eastAsia="仿宋_GB2312" w:cs="仿宋_GB2312"/>
          <w:kern w:val="0"/>
          <w:sz w:val="32"/>
          <w:szCs w:val="32"/>
          <w:lang w:val="en-US" w:eastAsia="zh-CN" w:bidi="ar-SA"/>
        </w:rPr>
        <w:t>万元，支出决算</w:t>
      </w:r>
      <w:r>
        <w:rPr>
          <w:rFonts w:hint="eastAsia" w:ascii="仿宋_GB2312" w:hAnsi="Calibri" w:eastAsia="仿宋_GB2312" w:cs="仿宋_GB2312"/>
          <w:kern w:val="0"/>
          <w:sz w:val="32"/>
          <w:szCs w:val="32"/>
          <w:lang w:val="en-US" w:eastAsia="zh-CN" w:bidi="ar-SA"/>
        </w:rPr>
        <w:t>51.29</w:t>
      </w:r>
      <w:r>
        <w:rPr>
          <w:rFonts w:hint="default" w:ascii="仿宋_GB2312" w:hAnsi="Calibri" w:eastAsia="仿宋_GB2312" w:cs="仿宋_GB2312"/>
          <w:kern w:val="0"/>
          <w:sz w:val="32"/>
          <w:szCs w:val="32"/>
          <w:lang w:val="en-US" w:eastAsia="zh-CN" w:bidi="ar-SA"/>
        </w:rPr>
        <w:t>万元，完成年初预算的</w:t>
      </w:r>
      <w:r>
        <w:rPr>
          <w:rFonts w:hint="eastAsia" w:ascii="仿宋_GB2312" w:hAnsi="Calibri" w:eastAsia="仿宋_GB2312" w:cs="仿宋_GB2312"/>
          <w:kern w:val="0"/>
          <w:sz w:val="32"/>
          <w:szCs w:val="32"/>
          <w:lang w:val="en-US" w:eastAsia="zh-CN" w:bidi="ar-SA"/>
        </w:rPr>
        <w:t>96.39</w:t>
      </w:r>
      <w:r>
        <w:rPr>
          <w:rFonts w:hint="default" w:ascii="仿宋_GB2312" w:hAnsi="Calibri" w:eastAsia="仿宋_GB2312" w:cs="仿宋_GB2312"/>
          <w:kern w:val="0"/>
          <w:sz w:val="32"/>
          <w:szCs w:val="32"/>
          <w:lang w:val="en-US" w:eastAsia="zh-CN" w:bidi="ar-SA"/>
        </w:rPr>
        <w:t>%。决算数与年初预算数的差异原因：</w:t>
      </w:r>
      <w:r>
        <w:rPr>
          <w:rFonts w:hint="eastAsia" w:ascii="仿宋" w:hAnsi="仿宋" w:eastAsia="仿宋" w:cs="仿宋"/>
          <w:kern w:val="0"/>
          <w:sz w:val="32"/>
          <w:szCs w:val="32"/>
          <w:lang w:eastAsia="zh-CN"/>
        </w:rPr>
        <w:t>本年度存在退休、调出人员，该项支出减少</w:t>
      </w:r>
      <w:r>
        <w:rPr>
          <w:rFonts w:hint="default" w:ascii="仿宋_GB2312" w:hAnsi="Calibri" w:eastAsia="仿宋_GB2312" w:cs="仿宋_GB2312"/>
          <w:kern w:val="0"/>
          <w:sz w:val="32"/>
          <w:szCs w:val="32"/>
          <w:lang w:val="en-US" w:eastAsia="zh-CN" w:bidi="ar-SA"/>
        </w:rPr>
        <w:t>。</w:t>
      </w:r>
    </w:p>
    <w:p>
      <w:pPr>
        <w:widowControl/>
        <w:spacing w:before="240" w:after="240"/>
        <w:ind w:firstLine="377"/>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4．行政事业单位养老支出（款）机关事业单位职业年金缴费支出（项）。年初预算</w:t>
      </w:r>
      <w:r>
        <w:rPr>
          <w:rFonts w:hint="eastAsia" w:ascii="仿宋_GB2312" w:hAnsi="Calibri" w:eastAsia="仿宋_GB2312" w:cs="仿宋_GB2312"/>
          <w:kern w:val="0"/>
          <w:sz w:val="32"/>
          <w:szCs w:val="32"/>
          <w:lang w:val="en-US" w:eastAsia="zh-CN" w:bidi="ar-SA"/>
        </w:rPr>
        <w:t>26.61</w:t>
      </w:r>
      <w:r>
        <w:rPr>
          <w:rFonts w:hint="default" w:ascii="仿宋_GB2312" w:hAnsi="Calibri" w:eastAsia="仿宋_GB2312" w:cs="仿宋_GB2312"/>
          <w:kern w:val="0"/>
          <w:sz w:val="32"/>
          <w:szCs w:val="32"/>
          <w:lang w:val="en-US" w:eastAsia="zh-CN" w:bidi="ar-SA"/>
        </w:rPr>
        <w:t>万元，支出决算</w:t>
      </w:r>
      <w:r>
        <w:rPr>
          <w:rFonts w:hint="eastAsia" w:ascii="仿宋_GB2312" w:hAnsi="Calibri" w:eastAsia="仿宋_GB2312" w:cs="仿宋_GB2312"/>
          <w:kern w:val="0"/>
          <w:sz w:val="32"/>
          <w:szCs w:val="32"/>
          <w:lang w:val="en-US" w:eastAsia="zh-CN" w:bidi="ar-SA"/>
        </w:rPr>
        <w:t>25.64</w:t>
      </w:r>
      <w:r>
        <w:rPr>
          <w:rFonts w:hint="default" w:ascii="仿宋_GB2312" w:hAnsi="Calibri" w:eastAsia="仿宋_GB2312" w:cs="仿宋_GB2312"/>
          <w:kern w:val="0"/>
          <w:sz w:val="32"/>
          <w:szCs w:val="32"/>
          <w:lang w:val="en-US" w:eastAsia="zh-CN" w:bidi="ar-SA"/>
        </w:rPr>
        <w:t>万元，完成年初预算的</w:t>
      </w:r>
      <w:r>
        <w:rPr>
          <w:rFonts w:hint="eastAsia" w:ascii="仿宋_GB2312" w:hAnsi="Calibri" w:eastAsia="仿宋_GB2312" w:cs="仿宋_GB2312"/>
          <w:kern w:val="0"/>
          <w:sz w:val="32"/>
          <w:szCs w:val="32"/>
          <w:lang w:val="en-US" w:eastAsia="zh-CN" w:bidi="ar-SA"/>
        </w:rPr>
        <w:t>96.35</w:t>
      </w:r>
      <w:r>
        <w:rPr>
          <w:rFonts w:hint="default" w:ascii="仿宋_GB2312" w:hAnsi="Calibri" w:eastAsia="仿宋_GB2312" w:cs="仿宋_GB2312"/>
          <w:kern w:val="0"/>
          <w:sz w:val="32"/>
          <w:szCs w:val="32"/>
          <w:lang w:val="en-US" w:eastAsia="zh-CN" w:bidi="ar-SA"/>
        </w:rPr>
        <w:t>%。决算数与年初预算数的差异原因：</w:t>
      </w:r>
      <w:r>
        <w:rPr>
          <w:rFonts w:hint="eastAsia" w:ascii="仿宋" w:hAnsi="仿宋" w:eastAsia="仿宋" w:cs="仿宋"/>
          <w:kern w:val="0"/>
          <w:sz w:val="32"/>
          <w:szCs w:val="32"/>
          <w:lang w:eastAsia="zh-CN"/>
        </w:rPr>
        <w:t>本年度存在退休、调出人员，该项支出减少</w:t>
      </w:r>
      <w:r>
        <w:rPr>
          <w:rFonts w:hint="default" w:ascii="仿宋_GB2312" w:hAnsi="Calibri" w:eastAsia="仿宋_GB2312" w:cs="仿宋_GB2312"/>
          <w:kern w:val="0"/>
          <w:sz w:val="32"/>
          <w:szCs w:val="32"/>
          <w:lang w:val="en-US" w:eastAsia="zh-CN" w:bidi="ar-SA"/>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仿宋" w:hAnsi="仿宋" w:eastAsia="仿宋" w:cs="仿宋"/>
          <w:b/>
          <w:bCs/>
          <w:color w:val="000000"/>
          <w:kern w:val="0"/>
          <w:sz w:val="32"/>
          <w:szCs w:val="32"/>
        </w:rPr>
        <w:t xml:space="preserve">   （四）卫生健康支出（类）</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color w:val="000000"/>
          <w:kern w:val="0"/>
          <w:sz w:val="27"/>
          <w:szCs w:val="27"/>
        </w:rPr>
        <w:t xml:space="preserve">    </w:t>
      </w:r>
      <w:r>
        <w:rPr>
          <w:rFonts w:hint="default" w:ascii="仿宋_GB2312" w:hAnsi="Calibri" w:eastAsia="仿宋_GB2312" w:cs="仿宋_GB2312"/>
          <w:kern w:val="0"/>
          <w:sz w:val="32"/>
          <w:szCs w:val="32"/>
          <w:lang w:val="en-US" w:eastAsia="zh-CN" w:bidi="ar-SA"/>
        </w:rPr>
        <w:t>卫生健康支出（类）决算数为 36.59万元，与年初预算相比减少4.33万元。其中：</w:t>
      </w:r>
    </w:p>
    <w:p>
      <w:pPr>
        <w:widowControl/>
        <w:spacing w:before="240" w:after="240"/>
        <w:ind w:firstLine="377"/>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1．行政事业单位医疗（款）行政单位医疗（项）。年初预算</w:t>
      </w:r>
      <w:r>
        <w:rPr>
          <w:rFonts w:hint="eastAsia" w:ascii="仿宋_GB2312" w:hAnsi="Calibri" w:eastAsia="仿宋_GB2312" w:cs="仿宋_GB2312"/>
          <w:kern w:val="0"/>
          <w:sz w:val="32"/>
          <w:szCs w:val="32"/>
          <w:lang w:val="en-US" w:eastAsia="zh-CN" w:bidi="ar-SA"/>
        </w:rPr>
        <w:t>26.57</w:t>
      </w:r>
      <w:r>
        <w:rPr>
          <w:rFonts w:hint="default" w:ascii="仿宋_GB2312" w:hAnsi="Calibri" w:eastAsia="仿宋_GB2312" w:cs="仿宋_GB2312"/>
          <w:kern w:val="0"/>
          <w:sz w:val="32"/>
          <w:szCs w:val="32"/>
          <w:lang w:val="en-US" w:eastAsia="zh-CN" w:bidi="ar-SA"/>
        </w:rPr>
        <w:t>万元，支出决算</w:t>
      </w:r>
      <w:r>
        <w:rPr>
          <w:rFonts w:hint="eastAsia" w:ascii="仿宋_GB2312" w:hAnsi="Calibri" w:eastAsia="仿宋_GB2312" w:cs="仿宋_GB2312"/>
          <w:kern w:val="0"/>
          <w:sz w:val="32"/>
          <w:szCs w:val="32"/>
          <w:lang w:val="en-US" w:eastAsia="zh-CN" w:bidi="ar-SA"/>
        </w:rPr>
        <w:t>27.66</w:t>
      </w:r>
      <w:r>
        <w:rPr>
          <w:rFonts w:hint="default" w:ascii="仿宋_GB2312" w:hAnsi="Calibri" w:eastAsia="仿宋_GB2312" w:cs="仿宋_GB2312"/>
          <w:kern w:val="0"/>
          <w:sz w:val="32"/>
          <w:szCs w:val="32"/>
          <w:lang w:val="en-US" w:eastAsia="zh-CN" w:bidi="ar-SA"/>
        </w:rPr>
        <w:t>万元，完成年初预算的</w:t>
      </w:r>
      <w:r>
        <w:rPr>
          <w:rFonts w:hint="eastAsia" w:ascii="仿宋_GB2312" w:hAnsi="Calibri" w:eastAsia="仿宋_GB2312" w:cs="仿宋_GB2312"/>
          <w:kern w:val="0"/>
          <w:sz w:val="32"/>
          <w:szCs w:val="32"/>
          <w:lang w:val="en-US" w:eastAsia="zh-CN" w:bidi="ar-SA"/>
        </w:rPr>
        <w:t>104.10</w:t>
      </w:r>
      <w:r>
        <w:rPr>
          <w:rFonts w:hint="default" w:ascii="仿宋_GB2312" w:hAnsi="Calibri" w:eastAsia="仿宋_GB2312" w:cs="仿宋_GB2312"/>
          <w:kern w:val="0"/>
          <w:sz w:val="32"/>
          <w:szCs w:val="32"/>
          <w:lang w:val="en-US" w:eastAsia="zh-CN" w:bidi="ar-SA"/>
        </w:rPr>
        <w:t>%。决算数与年初预算数的差异原因：</w:t>
      </w:r>
      <w:r>
        <w:rPr>
          <w:rFonts w:hint="eastAsia" w:ascii="仿宋" w:hAnsi="仿宋" w:eastAsia="仿宋" w:cs="仿宋"/>
          <w:kern w:val="0"/>
          <w:sz w:val="32"/>
          <w:szCs w:val="32"/>
          <w:lang w:eastAsia="zh-CN"/>
        </w:rPr>
        <w:t>本年度存在退休、调出人员，该项支出减少</w:t>
      </w:r>
      <w:r>
        <w:rPr>
          <w:rFonts w:hint="default" w:ascii="仿宋_GB2312" w:hAnsi="Calibri" w:eastAsia="仿宋_GB2312" w:cs="仿宋_GB2312"/>
          <w:kern w:val="0"/>
          <w:sz w:val="32"/>
          <w:szCs w:val="32"/>
          <w:lang w:val="en-US" w:eastAsia="zh-CN" w:bidi="ar-SA"/>
        </w:rPr>
        <w:t>。</w:t>
      </w:r>
    </w:p>
    <w:p>
      <w:pPr>
        <w:widowControl/>
        <w:spacing w:before="240" w:after="240"/>
        <w:ind w:firstLine="377"/>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2．行政事业单位医疗（款）事业单位医疗（项）。年初预算</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万元，支出决算</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万元，完成年初预算的</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%。决算数与年初预算数的差异原因：</w:t>
      </w:r>
      <w:r>
        <w:rPr>
          <w:rFonts w:hint="eastAsia" w:ascii="仿宋_GB2312" w:hAnsi="Calibri" w:eastAsia="仿宋_GB2312" w:cs="仿宋_GB2312"/>
          <w:kern w:val="0"/>
          <w:sz w:val="32"/>
          <w:szCs w:val="32"/>
          <w:lang w:val="en-US" w:eastAsia="zh-CN" w:bidi="ar-SA"/>
        </w:rPr>
        <w:t>不存在此项内容</w:t>
      </w:r>
      <w:r>
        <w:rPr>
          <w:rFonts w:hint="default" w:ascii="仿宋_GB2312" w:hAnsi="Calibri" w:eastAsia="仿宋_GB2312" w:cs="仿宋_GB2312"/>
          <w:kern w:val="0"/>
          <w:sz w:val="32"/>
          <w:szCs w:val="32"/>
          <w:lang w:val="en-US" w:eastAsia="zh-CN" w:bidi="ar-SA"/>
        </w:rPr>
        <w:t>。</w:t>
      </w:r>
    </w:p>
    <w:p>
      <w:pPr>
        <w:widowControl/>
        <w:spacing w:before="240" w:after="240"/>
        <w:ind w:firstLine="377"/>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3．行政事业单位医疗（款）公务员医疗补助（项）。年初预算</w:t>
      </w:r>
      <w:r>
        <w:rPr>
          <w:rFonts w:hint="eastAsia" w:ascii="仿宋_GB2312" w:hAnsi="Calibri" w:eastAsia="仿宋_GB2312" w:cs="仿宋_GB2312"/>
          <w:kern w:val="0"/>
          <w:sz w:val="32"/>
          <w:szCs w:val="32"/>
          <w:lang w:val="en-US" w:eastAsia="zh-CN" w:bidi="ar-SA"/>
        </w:rPr>
        <w:t>14.35</w:t>
      </w:r>
      <w:r>
        <w:rPr>
          <w:rFonts w:hint="default" w:ascii="仿宋_GB2312" w:hAnsi="Calibri" w:eastAsia="仿宋_GB2312" w:cs="仿宋_GB2312"/>
          <w:kern w:val="0"/>
          <w:sz w:val="32"/>
          <w:szCs w:val="32"/>
          <w:lang w:val="en-US" w:eastAsia="zh-CN" w:bidi="ar-SA"/>
        </w:rPr>
        <w:t>万元，支出决算</w:t>
      </w:r>
      <w:r>
        <w:rPr>
          <w:rFonts w:hint="eastAsia" w:ascii="仿宋_GB2312" w:hAnsi="Calibri" w:eastAsia="仿宋_GB2312" w:cs="仿宋_GB2312"/>
          <w:kern w:val="0"/>
          <w:sz w:val="32"/>
          <w:szCs w:val="32"/>
          <w:lang w:val="en-US" w:eastAsia="zh-CN" w:bidi="ar-SA"/>
        </w:rPr>
        <w:t>8.92</w:t>
      </w:r>
      <w:r>
        <w:rPr>
          <w:rFonts w:hint="default" w:ascii="仿宋_GB2312" w:hAnsi="Calibri" w:eastAsia="仿宋_GB2312" w:cs="仿宋_GB2312"/>
          <w:kern w:val="0"/>
          <w:sz w:val="32"/>
          <w:szCs w:val="32"/>
          <w:lang w:val="en-US" w:eastAsia="zh-CN" w:bidi="ar-SA"/>
        </w:rPr>
        <w:t>万元，完成年初预算的</w:t>
      </w:r>
      <w:r>
        <w:rPr>
          <w:rFonts w:hint="eastAsia" w:ascii="仿宋_GB2312" w:hAnsi="Calibri" w:eastAsia="仿宋_GB2312" w:cs="仿宋_GB2312"/>
          <w:kern w:val="0"/>
          <w:sz w:val="32"/>
          <w:szCs w:val="32"/>
          <w:lang w:val="en-US" w:eastAsia="zh-CN" w:bidi="ar-SA"/>
        </w:rPr>
        <w:t>62.16</w:t>
      </w:r>
      <w:r>
        <w:rPr>
          <w:rFonts w:hint="default" w:ascii="仿宋_GB2312" w:hAnsi="Calibri" w:eastAsia="仿宋_GB2312" w:cs="仿宋_GB2312"/>
          <w:kern w:val="0"/>
          <w:sz w:val="32"/>
          <w:szCs w:val="32"/>
          <w:lang w:val="en-US" w:eastAsia="zh-CN" w:bidi="ar-SA"/>
        </w:rPr>
        <w:t>%。决算数与年初预算数的差异原因：</w:t>
      </w:r>
      <w:r>
        <w:rPr>
          <w:rFonts w:hint="eastAsia" w:ascii="仿宋" w:hAnsi="仿宋" w:eastAsia="仿宋" w:cs="仿宋"/>
          <w:kern w:val="0"/>
          <w:sz w:val="32"/>
          <w:szCs w:val="32"/>
          <w:lang w:eastAsia="zh-CN"/>
        </w:rPr>
        <w:t>本年度存在退休、调出人员，该项支出减少</w:t>
      </w:r>
      <w:r>
        <w:rPr>
          <w:rFonts w:hint="default" w:ascii="仿宋_GB2312" w:hAnsi="Calibri" w:eastAsia="仿宋_GB2312" w:cs="仿宋_GB2312"/>
          <w:kern w:val="0"/>
          <w:sz w:val="32"/>
          <w:szCs w:val="32"/>
          <w:lang w:val="en-US" w:eastAsia="zh-CN" w:bidi="ar-SA"/>
        </w:rPr>
        <w:t>。</w:t>
      </w:r>
    </w:p>
    <w:p>
      <w:pPr>
        <w:widowControl/>
        <w:spacing w:before="240" w:after="240"/>
        <w:jc w:val="lef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    （五）住房保障支出（类）</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color w:val="000000"/>
          <w:kern w:val="0"/>
          <w:sz w:val="27"/>
          <w:szCs w:val="27"/>
        </w:rPr>
        <w:t xml:space="preserve">    </w:t>
      </w:r>
      <w:r>
        <w:rPr>
          <w:rFonts w:hint="default" w:ascii="仿宋_GB2312" w:hAnsi="Calibri" w:eastAsia="仿宋_GB2312" w:cs="仿宋_GB2312"/>
          <w:kern w:val="0"/>
          <w:sz w:val="32"/>
          <w:szCs w:val="32"/>
          <w:lang w:val="en-US" w:eastAsia="zh-CN" w:bidi="ar-SA"/>
        </w:rPr>
        <w:t>住房保障支出（类）决算数为 65.66万元，与年初预算相比减少 4.33万元。其中：</w:t>
      </w:r>
    </w:p>
    <w:p>
      <w:pPr>
        <w:widowControl/>
        <w:spacing w:before="240" w:after="240"/>
        <w:ind w:firstLine="377"/>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1．住房改革支出（款）住房公积金（项）。年初预算</w:t>
      </w:r>
      <w:r>
        <w:rPr>
          <w:rFonts w:hint="eastAsia" w:ascii="仿宋_GB2312" w:hAnsi="Calibri" w:eastAsia="仿宋_GB2312" w:cs="仿宋_GB2312"/>
          <w:kern w:val="0"/>
          <w:sz w:val="32"/>
          <w:szCs w:val="32"/>
          <w:lang w:val="en-US" w:eastAsia="zh-CN" w:bidi="ar-SA"/>
        </w:rPr>
        <w:t>69.98</w:t>
      </w:r>
      <w:r>
        <w:rPr>
          <w:rFonts w:hint="default" w:ascii="仿宋_GB2312" w:hAnsi="Calibri" w:eastAsia="仿宋_GB2312" w:cs="仿宋_GB2312"/>
          <w:kern w:val="0"/>
          <w:sz w:val="32"/>
          <w:szCs w:val="32"/>
          <w:lang w:val="en-US" w:eastAsia="zh-CN" w:bidi="ar-SA"/>
        </w:rPr>
        <w:t>万元，支出决算</w:t>
      </w:r>
      <w:r>
        <w:rPr>
          <w:rFonts w:hint="eastAsia" w:ascii="仿宋_GB2312" w:hAnsi="Calibri" w:eastAsia="仿宋_GB2312" w:cs="仿宋_GB2312"/>
          <w:kern w:val="0"/>
          <w:sz w:val="32"/>
          <w:szCs w:val="32"/>
          <w:lang w:val="en-US" w:eastAsia="zh-CN" w:bidi="ar-SA"/>
        </w:rPr>
        <w:t>65.66</w:t>
      </w:r>
      <w:r>
        <w:rPr>
          <w:rFonts w:hint="default" w:ascii="仿宋_GB2312" w:hAnsi="Calibri" w:eastAsia="仿宋_GB2312" w:cs="仿宋_GB2312"/>
          <w:kern w:val="0"/>
          <w:sz w:val="32"/>
          <w:szCs w:val="32"/>
          <w:lang w:val="en-US" w:eastAsia="zh-CN" w:bidi="ar-SA"/>
        </w:rPr>
        <w:t>万元，完成年初预算的</w:t>
      </w:r>
      <w:r>
        <w:rPr>
          <w:rFonts w:hint="eastAsia" w:ascii="仿宋_GB2312" w:hAnsi="Calibri" w:eastAsia="仿宋_GB2312" w:cs="仿宋_GB2312"/>
          <w:kern w:val="0"/>
          <w:sz w:val="32"/>
          <w:szCs w:val="32"/>
          <w:lang w:val="en-US" w:eastAsia="zh-CN" w:bidi="ar-SA"/>
        </w:rPr>
        <w:t>93.83</w:t>
      </w:r>
      <w:r>
        <w:rPr>
          <w:rFonts w:hint="default" w:ascii="仿宋_GB2312" w:hAnsi="Calibri" w:eastAsia="仿宋_GB2312" w:cs="仿宋_GB2312"/>
          <w:kern w:val="0"/>
          <w:sz w:val="32"/>
          <w:szCs w:val="32"/>
          <w:lang w:val="en-US" w:eastAsia="zh-CN" w:bidi="ar-SA"/>
        </w:rPr>
        <w:t>%。决算数与年初预算数的差异原因：</w:t>
      </w:r>
      <w:r>
        <w:rPr>
          <w:rFonts w:hint="eastAsia" w:ascii="仿宋" w:hAnsi="仿宋" w:eastAsia="仿宋" w:cs="仿宋"/>
          <w:kern w:val="0"/>
          <w:sz w:val="32"/>
          <w:szCs w:val="32"/>
          <w:lang w:eastAsia="zh-CN"/>
        </w:rPr>
        <w:t>本年度存在退休、调出人员，该项支出减少</w:t>
      </w:r>
      <w:r>
        <w:rPr>
          <w:rFonts w:hint="default" w:ascii="仿宋_GB2312" w:hAnsi="Calibri" w:eastAsia="仿宋_GB2312" w:cs="仿宋_GB2312"/>
          <w:kern w:val="0"/>
          <w:sz w:val="32"/>
          <w:szCs w:val="32"/>
          <w:lang w:val="en-US" w:eastAsia="zh-CN" w:bidi="ar-SA"/>
        </w:rPr>
        <w:t>。</w:t>
      </w:r>
    </w:p>
    <w:p>
      <w:pPr>
        <w:widowControl/>
        <w:spacing w:before="240" w:after="240"/>
        <w:jc w:val="left"/>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   </w:t>
      </w:r>
      <w:r>
        <w:rPr>
          <w:rFonts w:hint="eastAsia" w:ascii="楷体" w:hAnsi="楷体" w:eastAsia="楷体" w:cs="楷体"/>
          <w:b/>
          <w:bCs/>
          <w:kern w:val="0"/>
          <w:sz w:val="32"/>
          <w:szCs w:val="32"/>
        </w:rPr>
        <w:t xml:space="preserve"> 六、一般公共预算财政拨款基本支出决算情况说明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hint="default" w:ascii="仿宋_GB2312" w:hAnsi="Calibri" w:eastAsia="仿宋_GB2312" w:cs="仿宋_GB2312"/>
          <w:kern w:val="0"/>
          <w:sz w:val="32"/>
          <w:szCs w:val="32"/>
          <w:lang w:val="en-US" w:eastAsia="zh-CN" w:bidi="ar-SA"/>
        </w:rPr>
        <w:t>乌拉特前旗人民检察院 2024年度一般公共预算财政拨款基本支出决算 935.32万元，其中：</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（一）人员经费 843.23万元。主要包括：基本工资</w:t>
      </w:r>
      <w:r>
        <w:rPr>
          <w:rFonts w:hint="eastAsia" w:ascii="仿宋_GB2312" w:hAnsi="Calibri" w:eastAsia="仿宋_GB2312" w:cs="仿宋_GB2312"/>
          <w:kern w:val="0"/>
          <w:sz w:val="32"/>
          <w:szCs w:val="32"/>
          <w:lang w:val="en-US" w:eastAsia="zh-CN" w:bidi="ar-SA"/>
        </w:rPr>
        <w:t>176.96</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、津贴补贴</w:t>
      </w:r>
      <w:r>
        <w:rPr>
          <w:rFonts w:hint="eastAsia" w:ascii="仿宋_GB2312" w:hAnsi="Calibri" w:eastAsia="仿宋_GB2312" w:cs="仿宋_GB2312"/>
          <w:kern w:val="0"/>
          <w:sz w:val="32"/>
          <w:szCs w:val="32"/>
          <w:lang w:val="en-US" w:eastAsia="zh-CN" w:bidi="ar-SA"/>
        </w:rPr>
        <w:t>297.21</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、奖金</w:t>
      </w:r>
      <w:r>
        <w:rPr>
          <w:rFonts w:hint="eastAsia" w:ascii="仿宋_GB2312" w:hAnsi="Calibri" w:eastAsia="仿宋_GB2312" w:cs="仿宋_GB2312"/>
          <w:kern w:val="0"/>
          <w:sz w:val="32"/>
          <w:szCs w:val="32"/>
          <w:lang w:val="en-US" w:eastAsia="zh-CN" w:bidi="ar-SA"/>
        </w:rPr>
        <w:t>43.99</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、伙食补助费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、绩效工资</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、机关事业单位基本养老保险缴费</w:t>
      </w:r>
      <w:r>
        <w:rPr>
          <w:rFonts w:hint="eastAsia" w:ascii="仿宋_GB2312" w:hAnsi="Calibri" w:eastAsia="仿宋_GB2312" w:cs="仿宋_GB2312"/>
          <w:kern w:val="0"/>
          <w:sz w:val="32"/>
          <w:szCs w:val="32"/>
          <w:lang w:val="en-US" w:eastAsia="zh-CN" w:bidi="ar-SA"/>
        </w:rPr>
        <w:t>51.29</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、职业年金缴费</w:t>
      </w:r>
      <w:r>
        <w:rPr>
          <w:rFonts w:hint="eastAsia" w:ascii="仿宋_GB2312" w:hAnsi="Calibri" w:eastAsia="仿宋_GB2312" w:cs="仿宋_GB2312"/>
          <w:kern w:val="0"/>
          <w:sz w:val="32"/>
          <w:szCs w:val="32"/>
          <w:lang w:val="en-US" w:eastAsia="zh-CN" w:bidi="ar-SA"/>
        </w:rPr>
        <w:t>25.64</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、职工基本医疗保险缴费</w:t>
      </w:r>
      <w:r>
        <w:rPr>
          <w:rFonts w:hint="eastAsia" w:ascii="仿宋_GB2312" w:hAnsi="Calibri" w:eastAsia="仿宋_GB2312" w:cs="仿宋_GB2312"/>
          <w:kern w:val="0"/>
          <w:sz w:val="32"/>
          <w:szCs w:val="32"/>
          <w:lang w:val="en-US" w:eastAsia="zh-CN" w:bidi="ar-SA"/>
        </w:rPr>
        <w:t>27.43</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、公务员医疗补助缴费</w:t>
      </w:r>
      <w:r>
        <w:rPr>
          <w:rFonts w:hint="eastAsia" w:ascii="仿宋_GB2312" w:hAnsi="Calibri" w:eastAsia="仿宋_GB2312" w:cs="仿宋_GB2312"/>
          <w:kern w:val="0"/>
          <w:sz w:val="32"/>
          <w:szCs w:val="32"/>
          <w:lang w:val="en-US" w:eastAsia="zh-CN" w:bidi="ar-SA"/>
        </w:rPr>
        <w:t>8.92</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w:t>
      </w:r>
      <w:r>
        <w:rPr>
          <w:rFonts w:hint="eastAsia" w:ascii="仿宋_GB2312" w:hAnsi="Calibri" w:eastAsia="仿宋_GB2312" w:cs="仿宋_GB2312"/>
          <w:kern w:val="0"/>
          <w:sz w:val="32"/>
          <w:szCs w:val="32"/>
          <w:lang w:val="en-US" w:eastAsia="zh-CN" w:bidi="ar-SA"/>
        </w:rPr>
        <w:t>其他和会保险缴费1.05万元、</w:t>
      </w:r>
      <w:r>
        <w:rPr>
          <w:rFonts w:hint="default" w:ascii="仿宋_GB2312" w:hAnsi="Calibri" w:eastAsia="仿宋_GB2312" w:cs="仿宋_GB2312"/>
          <w:kern w:val="0"/>
          <w:sz w:val="32"/>
          <w:szCs w:val="32"/>
          <w:lang w:val="en-US" w:eastAsia="zh-CN" w:bidi="ar-SA"/>
        </w:rPr>
        <w:t>住房公积金</w:t>
      </w:r>
      <w:r>
        <w:rPr>
          <w:rFonts w:hint="eastAsia" w:ascii="仿宋_GB2312" w:hAnsi="Calibri" w:eastAsia="仿宋_GB2312" w:cs="仿宋_GB2312"/>
          <w:kern w:val="0"/>
          <w:sz w:val="32"/>
          <w:szCs w:val="32"/>
          <w:lang w:val="en-US" w:eastAsia="zh-CN" w:bidi="ar-SA"/>
        </w:rPr>
        <w:t>65.66</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、其他工资福利支出</w:t>
      </w:r>
      <w:r>
        <w:rPr>
          <w:rFonts w:hint="eastAsia" w:ascii="仿宋_GB2312" w:hAnsi="Calibri" w:eastAsia="仿宋_GB2312" w:cs="仿宋_GB2312"/>
          <w:kern w:val="0"/>
          <w:sz w:val="32"/>
          <w:szCs w:val="32"/>
          <w:lang w:val="en-US" w:eastAsia="zh-CN" w:bidi="ar-SA"/>
        </w:rPr>
        <w:t>142.06</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、离休费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、退休费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、抚恤金</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、生活补助</w:t>
      </w:r>
      <w:r>
        <w:rPr>
          <w:rFonts w:hint="eastAsia" w:ascii="仿宋_GB2312" w:hAnsi="Calibri" w:eastAsia="仿宋_GB2312" w:cs="仿宋_GB2312"/>
          <w:kern w:val="0"/>
          <w:sz w:val="32"/>
          <w:szCs w:val="32"/>
          <w:lang w:val="en-US" w:eastAsia="zh-CN" w:bidi="ar-SA"/>
        </w:rPr>
        <w:t>3.03</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、医疗费补助</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、奖励金</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、其他对个人和家庭的补助支出</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等。</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color w:val="000000"/>
          <w:kern w:val="0"/>
          <w:sz w:val="27"/>
          <w:szCs w:val="27"/>
        </w:rPr>
        <w:t xml:space="preserve">    </w:t>
      </w:r>
      <w:r>
        <w:rPr>
          <w:rFonts w:hint="default" w:ascii="仿宋_GB2312" w:hAnsi="Calibri" w:eastAsia="仿宋_GB2312" w:cs="仿宋_GB2312"/>
          <w:kern w:val="0"/>
          <w:sz w:val="32"/>
          <w:szCs w:val="32"/>
          <w:lang w:val="en-US" w:eastAsia="zh-CN" w:bidi="ar-SA"/>
        </w:rPr>
        <w:t>（二）公用经费 92.09万元。主要包括：办公费</w:t>
      </w:r>
      <w:r>
        <w:rPr>
          <w:rFonts w:hint="eastAsia" w:ascii="仿宋_GB2312" w:hAnsi="Calibri" w:eastAsia="仿宋_GB2312" w:cs="仿宋_GB2312"/>
          <w:kern w:val="0"/>
          <w:sz w:val="32"/>
          <w:szCs w:val="32"/>
          <w:lang w:val="en-US" w:eastAsia="zh-CN" w:bidi="ar-SA"/>
        </w:rPr>
        <w:t>23.33</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、印刷费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、咨询费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、手续费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、水费</w:t>
      </w:r>
      <w:r>
        <w:rPr>
          <w:rFonts w:hint="eastAsia" w:ascii="仿宋_GB2312" w:hAnsi="Calibri" w:eastAsia="仿宋_GB2312" w:cs="仿宋_GB2312"/>
          <w:kern w:val="0"/>
          <w:sz w:val="32"/>
          <w:szCs w:val="32"/>
          <w:lang w:val="en-US" w:eastAsia="zh-CN" w:bidi="ar-SA"/>
        </w:rPr>
        <w:t>1.00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、电费</w:t>
      </w:r>
      <w:r>
        <w:rPr>
          <w:rFonts w:hint="eastAsia" w:ascii="仿宋_GB2312" w:hAnsi="Calibri" w:eastAsia="仿宋_GB2312" w:cs="仿宋_GB2312"/>
          <w:kern w:val="0"/>
          <w:sz w:val="32"/>
          <w:szCs w:val="32"/>
          <w:lang w:val="en-US" w:eastAsia="zh-CN" w:bidi="ar-SA"/>
        </w:rPr>
        <w:t>10.00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、邮电费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、取暖费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、物业管理费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、差旅费</w:t>
      </w:r>
      <w:r>
        <w:rPr>
          <w:rFonts w:hint="eastAsia" w:ascii="仿宋_GB2312" w:hAnsi="Calibri" w:eastAsia="仿宋_GB2312" w:cs="仿宋_GB2312"/>
          <w:kern w:val="0"/>
          <w:sz w:val="32"/>
          <w:szCs w:val="32"/>
          <w:lang w:val="en-US" w:eastAsia="zh-CN" w:bidi="ar-SA"/>
        </w:rPr>
        <w:t>1.50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、维修（护）费</w:t>
      </w:r>
      <w:r>
        <w:rPr>
          <w:rFonts w:hint="eastAsia" w:ascii="仿宋_GB2312" w:hAnsi="Calibri" w:eastAsia="仿宋_GB2312" w:cs="仿宋_GB2312"/>
          <w:kern w:val="0"/>
          <w:sz w:val="32"/>
          <w:szCs w:val="32"/>
          <w:lang w:val="en-US" w:eastAsia="zh-CN" w:bidi="ar-SA"/>
        </w:rPr>
        <w:t>5.00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、租赁费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、会议费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、培训费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、公务接待费</w:t>
      </w:r>
      <w:r>
        <w:rPr>
          <w:rFonts w:hint="eastAsia" w:ascii="仿宋_GB2312" w:hAnsi="Calibri" w:eastAsia="仿宋_GB2312" w:cs="仿宋_GB2312"/>
          <w:kern w:val="0"/>
          <w:sz w:val="32"/>
          <w:szCs w:val="32"/>
          <w:lang w:val="en-US" w:eastAsia="zh-CN" w:bidi="ar-SA"/>
        </w:rPr>
        <w:t>2.10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、专用材料费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、劳务费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、委托业务费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、工会经费</w:t>
      </w:r>
      <w:r>
        <w:rPr>
          <w:rFonts w:hint="eastAsia" w:ascii="仿宋_GB2312" w:hAnsi="Calibri" w:eastAsia="仿宋_GB2312" w:cs="仿宋_GB2312"/>
          <w:kern w:val="0"/>
          <w:sz w:val="32"/>
          <w:szCs w:val="32"/>
          <w:lang w:val="en-US" w:eastAsia="zh-CN" w:bidi="ar-SA"/>
        </w:rPr>
        <w:t>8.67</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、福利费</w:t>
      </w:r>
      <w:r>
        <w:rPr>
          <w:rFonts w:hint="eastAsia" w:ascii="仿宋_GB2312" w:hAnsi="Calibri" w:eastAsia="仿宋_GB2312" w:cs="仿宋_GB2312"/>
          <w:kern w:val="0"/>
          <w:sz w:val="32"/>
          <w:szCs w:val="32"/>
          <w:lang w:val="en-US" w:eastAsia="zh-CN" w:bidi="ar-SA"/>
        </w:rPr>
        <w:t>12.04</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、公务用车运行维护费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、其他交通费用</w:t>
      </w:r>
      <w:r>
        <w:rPr>
          <w:rFonts w:hint="eastAsia" w:ascii="仿宋_GB2312" w:hAnsi="Calibri" w:eastAsia="仿宋_GB2312" w:cs="仿宋_GB2312"/>
          <w:kern w:val="0"/>
          <w:sz w:val="32"/>
          <w:szCs w:val="32"/>
          <w:lang w:val="en-US" w:eastAsia="zh-CN" w:bidi="ar-SA"/>
        </w:rPr>
        <w:t>28.38</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、其他商品和服务支出</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、办公设备购置</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、专用设备购置</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、信息网络及软件购置更新</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、其他资本性支出</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等。</w:t>
      </w:r>
    </w:p>
    <w:p>
      <w:pPr>
        <w:widowControl/>
        <w:spacing w:before="240" w:after="240"/>
        <w:jc w:val="left"/>
        <w:rPr>
          <w:rFonts w:ascii="Times New Roman" w:hAnsi="Times New Roman" w:eastAsia="Times New Roman" w:cs="Times New Roman"/>
          <w:kern w:val="0"/>
          <w:sz w:val="24"/>
        </w:rPr>
      </w:pPr>
      <w:r>
        <w:rPr>
          <w:rFonts w:hint="eastAsia" w:ascii="楷体" w:hAnsi="楷体" w:eastAsia="楷体" w:cs="楷体"/>
          <w:b w:val="0"/>
          <w:bCs w:val="0"/>
          <w:kern w:val="0"/>
          <w:sz w:val="32"/>
          <w:szCs w:val="32"/>
        </w:rPr>
        <w:t>    七、一般公共预算财政拨款项目支出决算情况说明</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kern w:val="0"/>
          <w:sz w:val="27"/>
          <w:szCs w:val="27"/>
        </w:rPr>
        <w:t> </w:t>
      </w:r>
      <w:r>
        <w:rPr>
          <w:rFonts w:hint="default" w:ascii="仿宋_GB2312" w:hAnsi="Calibri" w:eastAsia="仿宋_GB2312" w:cs="仿宋_GB2312"/>
          <w:kern w:val="0"/>
          <w:sz w:val="32"/>
          <w:szCs w:val="32"/>
          <w:lang w:val="en-US" w:eastAsia="zh-CN" w:bidi="ar-SA"/>
        </w:rPr>
        <w:t xml:space="preserve">   乌拉特前旗人民检察院 2024年度一般公共预算财政拨款项目支出决算 425.00万元，其中：</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color w:val="000000"/>
          <w:kern w:val="0"/>
          <w:sz w:val="27"/>
          <w:szCs w:val="27"/>
        </w:rPr>
        <w:t>   </w:t>
      </w:r>
      <w:r>
        <w:rPr>
          <w:rFonts w:hint="default" w:ascii="仿宋_GB2312" w:hAnsi="Calibri" w:eastAsia="仿宋_GB2312" w:cs="仿宋_GB2312"/>
          <w:kern w:val="0"/>
          <w:sz w:val="32"/>
          <w:szCs w:val="32"/>
          <w:lang w:val="en-US" w:eastAsia="zh-CN" w:bidi="ar-SA"/>
        </w:rPr>
        <w:t xml:space="preserve"> （一）</w:t>
      </w:r>
      <w:r>
        <w:rPr>
          <w:rFonts w:hint="default" w:ascii="仿宋_GB2312" w:hAnsi="Calibri" w:eastAsia="仿宋_GB2312" w:cs="仿宋_GB2312"/>
          <w:b/>
          <w:bCs/>
          <w:kern w:val="0"/>
          <w:sz w:val="32"/>
          <w:szCs w:val="32"/>
          <w:lang w:val="en-US" w:eastAsia="zh-CN" w:bidi="ar-SA"/>
        </w:rPr>
        <w:t>工资福利支出 0万元。</w:t>
      </w:r>
      <w:r>
        <w:rPr>
          <w:rFonts w:hint="default" w:ascii="仿宋_GB2312" w:hAnsi="Calibri" w:eastAsia="仿宋_GB2312" w:cs="仿宋_GB2312"/>
          <w:kern w:val="0"/>
          <w:sz w:val="32"/>
          <w:szCs w:val="32"/>
          <w:lang w:val="en-US" w:eastAsia="zh-CN" w:bidi="ar-SA"/>
        </w:rPr>
        <w:t>主要包括：基本工资、津贴补贴、奖金、伙食补助费、绩效工资、机关事业单位基本养老保险缴费、职业年金缴费、职工基本医疗保险缴费、公务员医疗补助缴费、其他社会保障缴费、住房公积金、医疗费、其他工资福利支出等。</w:t>
      </w:r>
      <w:r>
        <w:rPr>
          <w:rFonts w:hint="eastAsia" w:ascii="仿宋_GB2312" w:hAnsi="Calibri" w:eastAsia="仿宋_GB2312" w:cs="仿宋_GB2312"/>
          <w:kern w:val="0"/>
          <w:sz w:val="32"/>
          <w:szCs w:val="32"/>
          <w:lang w:val="en-US" w:eastAsia="zh-CN" w:bidi="ar-SA"/>
        </w:rPr>
        <w:t>（不存在此项内容）</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（二）</w:t>
      </w:r>
      <w:r>
        <w:rPr>
          <w:rFonts w:hint="default" w:ascii="仿宋_GB2312" w:hAnsi="Calibri" w:eastAsia="仿宋_GB2312" w:cs="仿宋_GB2312"/>
          <w:b/>
          <w:bCs/>
          <w:kern w:val="0"/>
          <w:sz w:val="32"/>
          <w:szCs w:val="32"/>
          <w:lang w:val="en-US" w:eastAsia="zh-CN" w:bidi="ar-SA"/>
        </w:rPr>
        <w:t>商品和服务支出 357.78万元。</w:t>
      </w:r>
      <w:r>
        <w:rPr>
          <w:rFonts w:hint="default" w:ascii="仿宋_GB2312" w:hAnsi="Calibri" w:eastAsia="仿宋_GB2312" w:cs="仿宋_GB2312"/>
          <w:kern w:val="0"/>
          <w:sz w:val="32"/>
          <w:szCs w:val="32"/>
          <w:lang w:val="en-US" w:eastAsia="zh-CN" w:bidi="ar-SA"/>
        </w:rPr>
        <w:t>主要包括：办公费</w:t>
      </w:r>
      <w:r>
        <w:rPr>
          <w:rFonts w:hint="eastAsia" w:ascii="仿宋_GB2312" w:hAnsi="Calibri" w:eastAsia="仿宋_GB2312" w:cs="仿宋_GB2312"/>
          <w:kern w:val="0"/>
          <w:sz w:val="32"/>
          <w:szCs w:val="32"/>
          <w:lang w:val="en-US" w:eastAsia="zh-CN" w:bidi="ar-SA"/>
        </w:rPr>
        <w:t>66.86</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、印刷费</w:t>
      </w:r>
      <w:r>
        <w:rPr>
          <w:rFonts w:hint="eastAsia" w:ascii="仿宋_GB2312" w:hAnsi="Calibri" w:eastAsia="仿宋_GB2312" w:cs="仿宋_GB2312"/>
          <w:kern w:val="0"/>
          <w:sz w:val="32"/>
          <w:szCs w:val="32"/>
          <w:lang w:val="en-US" w:eastAsia="zh-CN" w:bidi="ar-SA"/>
        </w:rPr>
        <w:t>10.00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、咨询费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、手续费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、水费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、电费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、邮电费</w:t>
      </w:r>
      <w:r>
        <w:rPr>
          <w:rFonts w:hint="eastAsia" w:ascii="仿宋_GB2312" w:hAnsi="Calibri" w:eastAsia="仿宋_GB2312" w:cs="仿宋_GB2312"/>
          <w:kern w:val="0"/>
          <w:sz w:val="32"/>
          <w:szCs w:val="32"/>
          <w:lang w:val="en-US" w:eastAsia="zh-CN" w:bidi="ar-SA"/>
        </w:rPr>
        <w:t>5.93</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、取暖费</w:t>
      </w:r>
      <w:r>
        <w:rPr>
          <w:rFonts w:hint="eastAsia" w:ascii="仿宋_GB2312" w:hAnsi="Calibri" w:eastAsia="仿宋_GB2312" w:cs="仿宋_GB2312"/>
          <w:kern w:val="0"/>
          <w:sz w:val="32"/>
          <w:szCs w:val="32"/>
          <w:lang w:val="en-US" w:eastAsia="zh-CN" w:bidi="ar-SA"/>
        </w:rPr>
        <w:t>26.00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、物业管理费</w:t>
      </w:r>
      <w:r>
        <w:rPr>
          <w:rFonts w:hint="eastAsia" w:ascii="仿宋_GB2312" w:hAnsi="Calibri" w:eastAsia="仿宋_GB2312" w:cs="仿宋_GB2312"/>
          <w:kern w:val="0"/>
          <w:sz w:val="32"/>
          <w:szCs w:val="32"/>
          <w:lang w:val="en-US" w:eastAsia="zh-CN" w:bidi="ar-SA"/>
        </w:rPr>
        <w:t>50.00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、差旅费</w:t>
      </w:r>
      <w:r>
        <w:rPr>
          <w:rFonts w:hint="eastAsia" w:ascii="仿宋_GB2312" w:hAnsi="Calibri" w:eastAsia="仿宋_GB2312" w:cs="仿宋_GB2312"/>
          <w:kern w:val="0"/>
          <w:sz w:val="32"/>
          <w:szCs w:val="32"/>
          <w:lang w:val="en-US" w:eastAsia="zh-CN" w:bidi="ar-SA"/>
        </w:rPr>
        <w:t>56.58</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、因公出国（境）费用</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、维修（护）费</w:t>
      </w:r>
      <w:r>
        <w:rPr>
          <w:rFonts w:hint="eastAsia" w:ascii="仿宋_GB2312" w:hAnsi="Calibri" w:eastAsia="仿宋_GB2312" w:cs="仿宋_GB2312"/>
          <w:kern w:val="0"/>
          <w:sz w:val="32"/>
          <w:szCs w:val="32"/>
          <w:lang w:val="en-US" w:eastAsia="zh-CN" w:bidi="ar-SA"/>
        </w:rPr>
        <w:t>44.00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、租赁费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、会议费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、培训费</w:t>
      </w:r>
      <w:r>
        <w:rPr>
          <w:rFonts w:hint="eastAsia" w:ascii="仿宋_GB2312" w:hAnsi="Calibri" w:eastAsia="仿宋_GB2312" w:cs="仿宋_GB2312"/>
          <w:kern w:val="0"/>
          <w:sz w:val="32"/>
          <w:szCs w:val="32"/>
          <w:lang w:val="en-US" w:eastAsia="zh-CN" w:bidi="ar-SA"/>
        </w:rPr>
        <w:t>10.41</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、公务接待费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、专用材料费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、被装购置费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、专用燃料费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、劳务费</w:t>
      </w:r>
      <w:r>
        <w:rPr>
          <w:rFonts w:hint="eastAsia" w:ascii="仿宋_GB2312" w:hAnsi="Calibri" w:eastAsia="仿宋_GB2312" w:cs="仿宋_GB2312"/>
          <w:kern w:val="0"/>
          <w:sz w:val="32"/>
          <w:szCs w:val="32"/>
          <w:lang w:val="en-US" w:eastAsia="zh-CN" w:bidi="ar-SA"/>
        </w:rPr>
        <w:t>0.50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、委托业务费</w:t>
      </w:r>
      <w:r>
        <w:rPr>
          <w:rFonts w:hint="eastAsia" w:ascii="仿宋_GB2312" w:hAnsi="Calibri" w:eastAsia="仿宋_GB2312" w:cs="仿宋_GB2312"/>
          <w:kern w:val="0"/>
          <w:sz w:val="32"/>
          <w:szCs w:val="32"/>
          <w:lang w:val="en-US" w:eastAsia="zh-CN" w:bidi="ar-SA"/>
        </w:rPr>
        <w:t>44.50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、工会经费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、福利费</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、公务用车运行维护费</w:t>
      </w:r>
      <w:r>
        <w:rPr>
          <w:rFonts w:hint="eastAsia" w:ascii="仿宋_GB2312" w:hAnsi="Calibri" w:eastAsia="仿宋_GB2312" w:cs="仿宋_GB2312"/>
          <w:kern w:val="0"/>
          <w:sz w:val="32"/>
          <w:szCs w:val="32"/>
          <w:lang w:val="en-US" w:eastAsia="zh-CN" w:bidi="ar-SA"/>
        </w:rPr>
        <w:t>43.00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、其他交通费用</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、税金及附加费用</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、其他商品和服务支出</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等。</w:t>
      </w:r>
    </w:p>
    <w:p>
      <w:pPr>
        <w:widowControl/>
        <w:spacing w:before="240" w:after="240"/>
        <w:rPr>
          <w:rFonts w:ascii="Times New Roman" w:hAnsi="Times New Roman" w:eastAsia="Times New Roman" w:cs="Times New Roman"/>
          <w:kern w:val="0"/>
          <w:sz w:val="24"/>
        </w:rPr>
      </w:pPr>
      <w:r>
        <w:rPr>
          <w:rFonts w:hint="default" w:ascii="仿宋_GB2312" w:hAnsi="Calibri" w:eastAsia="仿宋_GB2312" w:cs="仿宋_GB2312"/>
          <w:kern w:val="0"/>
          <w:sz w:val="32"/>
          <w:szCs w:val="32"/>
          <w:lang w:val="en-US" w:eastAsia="zh-CN" w:bidi="ar-SA"/>
        </w:rPr>
        <w:t>    （三）</w:t>
      </w:r>
      <w:r>
        <w:rPr>
          <w:rFonts w:hint="default" w:ascii="仿宋_GB2312" w:hAnsi="Calibri" w:eastAsia="仿宋_GB2312" w:cs="仿宋_GB2312"/>
          <w:b/>
          <w:bCs/>
          <w:kern w:val="0"/>
          <w:sz w:val="32"/>
          <w:szCs w:val="32"/>
          <w:lang w:val="en-US" w:eastAsia="zh-CN" w:bidi="ar-SA"/>
        </w:rPr>
        <w:t>资本性支出 67.22万元</w:t>
      </w:r>
      <w:r>
        <w:rPr>
          <w:rFonts w:hint="default" w:ascii="仿宋_GB2312" w:hAnsi="Calibri" w:eastAsia="仿宋_GB2312" w:cs="仿宋_GB2312"/>
          <w:kern w:val="0"/>
          <w:sz w:val="32"/>
          <w:szCs w:val="32"/>
          <w:lang w:val="en-US" w:eastAsia="zh-CN" w:bidi="ar-SA"/>
        </w:rPr>
        <w:t>。主要包括：房屋建筑物构建</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、办公设备购置</w:t>
      </w:r>
      <w:r>
        <w:rPr>
          <w:rFonts w:hint="eastAsia" w:ascii="仿宋_GB2312" w:hAnsi="Calibri" w:eastAsia="仿宋_GB2312" w:cs="仿宋_GB2312"/>
          <w:kern w:val="0"/>
          <w:sz w:val="32"/>
          <w:szCs w:val="32"/>
          <w:lang w:val="en-US" w:eastAsia="zh-CN" w:bidi="ar-SA"/>
        </w:rPr>
        <w:t>67.22</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、专用设备购置</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、基础设施建设</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、大型修缮</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、信息网络及软件购置更新</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、物资储备</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、土地补偿</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、安置补助</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、地上附着物和青苗补偿</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、拆迁补偿</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、公务用车购置</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、其他交通工具购置</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、文物和陈列品购置</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、无形资产购置</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、其他资本性支出</w:t>
      </w:r>
      <w:r>
        <w:rPr>
          <w:rFonts w:hint="eastAsia" w:ascii="仿宋_GB2312" w:hAnsi="Calibri" w:eastAsia="仿宋_GB2312" w:cs="仿宋_GB2312"/>
          <w:kern w:val="0"/>
          <w:sz w:val="32"/>
          <w:szCs w:val="32"/>
          <w:lang w:val="en-US" w:eastAsia="zh-CN" w:bidi="ar-SA"/>
        </w:rPr>
        <w:t>0.00</w:t>
      </w:r>
      <w:r>
        <w:rPr>
          <w:rFonts w:hint="eastAsia" w:ascii="仿宋_GB2312" w:hAnsi="仿宋" w:eastAsia="仿宋_GB2312" w:cs="仿宋_GB2312"/>
          <w:kern w:val="0"/>
          <w:sz w:val="32"/>
          <w:szCs w:val="32"/>
          <w:lang w:val="en-US" w:eastAsia="zh-CN"/>
        </w:rPr>
        <w:t>万元</w:t>
      </w:r>
      <w:r>
        <w:rPr>
          <w:rFonts w:hint="default" w:ascii="仿宋_GB2312" w:hAnsi="Calibri" w:eastAsia="仿宋_GB2312" w:cs="仿宋_GB2312"/>
          <w:kern w:val="0"/>
          <w:sz w:val="32"/>
          <w:szCs w:val="32"/>
          <w:lang w:val="en-US" w:eastAsia="zh-CN" w:bidi="ar-SA"/>
        </w:rPr>
        <w:t>等。</w:t>
      </w:r>
    </w:p>
    <w:p>
      <w:pPr>
        <w:widowControl/>
        <w:spacing w:before="240" w:after="240"/>
        <w:jc w:val="left"/>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 </w:t>
      </w:r>
      <w:r>
        <w:rPr>
          <w:rFonts w:hint="eastAsia" w:ascii="楷体" w:hAnsi="楷体" w:eastAsia="楷体" w:cs="楷体"/>
          <w:b/>
          <w:bCs/>
          <w:kern w:val="0"/>
          <w:sz w:val="32"/>
          <w:szCs w:val="32"/>
        </w:rPr>
        <w:t xml:space="preserve">   八、财政拨款“三公”经费支出决算情况说明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（反映部门（单位）年度财政拨款“三公”经费决算情况）</w:t>
      </w:r>
    </w:p>
    <w:p>
      <w:pPr>
        <w:widowControl/>
        <w:spacing w:before="240" w:after="240"/>
        <w:jc w:val="lef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w:t>
      </w:r>
      <w:r>
        <w:rPr>
          <w:rFonts w:hint="eastAsia" w:ascii="仿宋" w:hAnsi="仿宋" w:eastAsia="仿宋" w:cs="仿宋"/>
          <w:b/>
          <w:bCs/>
          <w:kern w:val="0"/>
          <w:sz w:val="32"/>
          <w:szCs w:val="32"/>
        </w:rPr>
        <w:t xml:space="preserve"> （一）财政拨款“三公”经费支出总体情况说明。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default" w:ascii="仿宋_GB2312" w:hAnsi="Calibri" w:eastAsia="仿宋_GB2312" w:cs="仿宋_GB2312"/>
          <w:kern w:val="0"/>
          <w:sz w:val="32"/>
          <w:szCs w:val="32"/>
          <w:lang w:val="en-US" w:eastAsia="zh-CN" w:bidi="ar-SA"/>
        </w:rPr>
        <w:t>乌拉特前旗人民检察院 2024年度财政拨款“三公”经费全年预算 45.10万元，支出决算 45.10万元，完成预算的 100.00%。其中：因公出国（境）费全年预算 0</w:t>
      </w:r>
      <w:r>
        <w:rPr>
          <w:rFonts w:hint="eastAsia" w:ascii="仿宋_GB2312" w:hAnsi="Calibri" w:eastAsia="仿宋_GB2312" w:cs="仿宋_GB2312"/>
          <w:kern w:val="0"/>
          <w:sz w:val="32"/>
          <w:szCs w:val="32"/>
          <w:lang w:val="en-US" w:eastAsia="zh-CN" w:bidi="ar-SA"/>
        </w:rPr>
        <w:t>.00</w:t>
      </w:r>
      <w:r>
        <w:rPr>
          <w:rFonts w:hint="default" w:ascii="仿宋_GB2312" w:hAnsi="Calibri" w:eastAsia="仿宋_GB2312" w:cs="仿宋_GB2312"/>
          <w:kern w:val="0"/>
          <w:sz w:val="32"/>
          <w:szCs w:val="32"/>
          <w:lang w:val="en-US" w:eastAsia="zh-CN" w:bidi="ar-SA"/>
        </w:rPr>
        <w:t>万元，支出决算 0</w:t>
      </w:r>
      <w:r>
        <w:rPr>
          <w:rFonts w:hint="eastAsia" w:ascii="仿宋_GB2312" w:hAnsi="Calibri" w:eastAsia="仿宋_GB2312" w:cs="仿宋_GB2312"/>
          <w:kern w:val="0"/>
          <w:sz w:val="32"/>
          <w:szCs w:val="32"/>
          <w:lang w:val="en-US" w:eastAsia="zh-CN" w:bidi="ar-SA"/>
        </w:rPr>
        <w:t>.00</w:t>
      </w:r>
      <w:r>
        <w:rPr>
          <w:rFonts w:hint="default" w:ascii="仿宋_GB2312" w:hAnsi="Calibri" w:eastAsia="仿宋_GB2312" w:cs="仿宋_GB2312"/>
          <w:kern w:val="0"/>
          <w:sz w:val="32"/>
          <w:szCs w:val="32"/>
          <w:lang w:val="en-US" w:eastAsia="zh-CN" w:bidi="ar-SA"/>
        </w:rPr>
        <w:t>万元，完成预算的 0</w:t>
      </w:r>
      <w:r>
        <w:rPr>
          <w:rFonts w:hint="eastAsia" w:ascii="仿宋_GB2312" w:hAnsi="Calibri" w:eastAsia="仿宋_GB2312" w:cs="仿宋_GB2312"/>
          <w:kern w:val="0"/>
          <w:sz w:val="32"/>
          <w:szCs w:val="32"/>
          <w:lang w:val="en-US" w:eastAsia="zh-CN" w:bidi="ar-SA"/>
        </w:rPr>
        <w:t>.00</w:t>
      </w:r>
      <w:r>
        <w:rPr>
          <w:rFonts w:hint="default" w:ascii="仿宋_GB2312" w:hAnsi="Calibri" w:eastAsia="仿宋_GB2312" w:cs="仿宋_GB2312"/>
          <w:kern w:val="0"/>
          <w:sz w:val="32"/>
          <w:szCs w:val="32"/>
          <w:lang w:val="en-US" w:eastAsia="zh-CN" w:bidi="ar-SA"/>
        </w:rPr>
        <w:t>%；公务用车购置及运行维护费全年预算 43.00万元，支出决算 43.00万元，完成预算的 100.00%；公务接待费全年预算 2.10万元，支出决算 2.10万元，完成预算的 100.00%。2024年度一般公共预算财政拨款“三公”经费全年预算 45.10万元，支出决算 45.10万元，与预算差异原因……。（</w:t>
      </w:r>
      <w:r>
        <w:rPr>
          <w:rFonts w:ascii="仿宋_GB2312" w:hAnsi="仿宋_GB2312" w:eastAsia="仿宋_GB2312" w:cs="仿宋_GB2312"/>
          <w:color w:val="1200FF"/>
          <w:kern w:val="0"/>
          <w:sz w:val="27"/>
          <w:szCs w:val="27"/>
        </w:rPr>
        <w:t>也可以分项说明差异原因）</w:t>
      </w:r>
    </w:p>
    <w:p>
      <w:pPr>
        <w:widowControl/>
        <w:spacing w:before="240" w:after="240"/>
        <w:jc w:val="left"/>
        <w:rPr>
          <w:rFonts w:hint="default" w:ascii="Times New Roman" w:hAnsi="Times New Roman" w:eastAsia="仿宋" w:cs="Times New Roman"/>
          <w:kern w:val="0"/>
          <w:sz w:val="24"/>
          <w:lang w:val="en-US" w:eastAsia="zh-CN"/>
        </w:rPr>
      </w:pPr>
      <w:r>
        <w:rPr>
          <w:rFonts w:ascii="kai_ti_gb2312" w:hAnsi="kai_ti_gb2312" w:eastAsia="kai_ti_gb2312" w:cs="kai_ti_gb2312"/>
          <w:b/>
          <w:bCs/>
          <w:kern w:val="0"/>
          <w:sz w:val="27"/>
          <w:szCs w:val="27"/>
        </w:rPr>
        <w:t xml:space="preserve">  </w:t>
      </w:r>
      <w:r>
        <w:rPr>
          <w:rFonts w:hint="eastAsia" w:ascii="仿宋" w:hAnsi="仿宋" w:eastAsia="仿宋" w:cs="仿宋"/>
          <w:b/>
          <w:bCs/>
          <w:kern w:val="0"/>
          <w:sz w:val="32"/>
          <w:szCs w:val="32"/>
        </w:rPr>
        <w:t>  （二）财政拨款“三公”经费支出具体情况说明。</w:t>
      </w:r>
    </w:p>
    <w:p>
      <w:pPr>
        <w:widowControl/>
        <w:spacing w:before="240" w:after="240"/>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kern w:val="0"/>
          <w:sz w:val="27"/>
          <w:szCs w:val="27"/>
        </w:rPr>
        <w:t xml:space="preserve">    </w:t>
      </w:r>
      <w:r>
        <w:rPr>
          <w:rFonts w:hint="default" w:ascii="仿宋_GB2312" w:hAnsi="Calibri" w:eastAsia="仿宋_GB2312" w:cs="仿宋_GB2312"/>
          <w:kern w:val="0"/>
          <w:sz w:val="32"/>
          <w:szCs w:val="32"/>
          <w:lang w:val="en-US" w:eastAsia="zh-CN" w:bidi="ar-SA"/>
        </w:rPr>
        <w:t>乌拉特前旗人民检察院 2024年度财政拨款“三公”经费支出 45.10万元。因公出国（境）费支出 0万元，占 0%；公务用车购置及运行维护费支出 43.00万元，占 95.34%；公务接待费支出 2.10万元，占 4.66%。其中：</w:t>
      </w:r>
    </w:p>
    <w:p>
      <w:pPr>
        <w:widowControl/>
        <w:spacing w:before="240" w:after="240"/>
        <w:ind w:firstLine="472"/>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1.因公出国（境）费支出 0</w:t>
      </w:r>
      <w:r>
        <w:rPr>
          <w:rFonts w:hint="eastAsia" w:ascii="仿宋_GB2312" w:hAnsi="Calibri" w:eastAsia="仿宋_GB2312" w:cs="仿宋_GB2312"/>
          <w:kern w:val="0"/>
          <w:sz w:val="32"/>
          <w:szCs w:val="32"/>
          <w:lang w:val="en-US" w:eastAsia="zh-CN" w:bidi="ar-SA"/>
        </w:rPr>
        <w:t>.00</w:t>
      </w:r>
      <w:r>
        <w:rPr>
          <w:rFonts w:hint="default" w:ascii="仿宋_GB2312" w:hAnsi="Calibri" w:eastAsia="仿宋_GB2312" w:cs="仿宋_GB2312"/>
          <w:kern w:val="0"/>
          <w:sz w:val="32"/>
          <w:szCs w:val="32"/>
          <w:lang w:val="en-US" w:eastAsia="zh-CN" w:bidi="ar-SA"/>
        </w:rPr>
        <w:t>万元，全年出国（境）团组0 个，累计0 人次。与上年决算相比，增加 0</w:t>
      </w:r>
      <w:r>
        <w:rPr>
          <w:rFonts w:hint="eastAsia" w:ascii="仿宋_GB2312" w:hAnsi="Calibri" w:eastAsia="仿宋_GB2312" w:cs="仿宋_GB2312"/>
          <w:kern w:val="0"/>
          <w:sz w:val="32"/>
          <w:szCs w:val="32"/>
          <w:lang w:val="en-US" w:eastAsia="zh-CN" w:bidi="ar-SA"/>
        </w:rPr>
        <w:t>.00</w:t>
      </w:r>
      <w:r>
        <w:rPr>
          <w:rFonts w:hint="default" w:ascii="仿宋_GB2312" w:hAnsi="Calibri" w:eastAsia="仿宋_GB2312" w:cs="仿宋_GB2312"/>
          <w:kern w:val="0"/>
          <w:sz w:val="32"/>
          <w:szCs w:val="32"/>
          <w:lang w:val="en-US" w:eastAsia="zh-CN" w:bidi="ar-SA"/>
        </w:rPr>
        <w:t>万元，增长 0%，变动原因：</w:t>
      </w:r>
      <w:r>
        <w:rPr>
          <w:rFonts w:hint="default" w:ascii="仿宋_GB2312" w:hAnsi="仿宋" w:eastAsia="仿宋_GB2312" w:cs="仿宋_GB2312"/>
          <w:kern w:val="0"/>
          <w:sz w:val="32"/>
          <w:szCs w:val="32"/>
        </w:rPr>
        <w:t>不存在此项内容。</w:t>
      </w:r>
    </w:p>
    <w:p>
      <w:pPr>
        <w:widowControl/>
        <w:spacing w:before="240" w:after="24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2.</w:t>
      </w:r>
      <w:r>
        <w:rPr>
          <w:rFonts w:hint="default" w:ascii="仿宋_GB2312" w:hAnsi="Calibri" w:eastAsia="仿宋_GB2312" w:cs="仿宋_GB2312"/>
          <w:b/>
          <w:bCs/>
          <w:kern w:val="0"/>
          <w:sz w:val="32"/>
          <w:szCs w:val="32"/>
          <w:lang w:val="en-US" w:eastAsia="zh-CN" w:bidi="ar-SA"/>
        </w:rPr>
        <w:t>公务用车购置及运行维护费支出 43.00万元。</w:t>
      </w:r>
      <w:r>
        <w:rPr>
          <w:rFonts w:hint="default" w:ascii="仿宋_GB2312" w:hAnsi="Calibri" w:eastAsia="仿宋_GB2312" w:cs="仿宋_GB2312"/>
          <w:kern w:val="0"/>
          <w:sz w:val="32"/>
          <w:szCs w:val="32"/>
          <w:lang w:val="en-US" w:eastAsia="zh-CN" w:bidi="ar-SA"/>
        </w:rPr>
        <w:t>其中：</w:t>
      </w:r>
    </w:p>
    <w:p>
      <w:pPr>
        <w:widowControl/>
        <w:spacing w:before="240" w:after="240"/>
        <w:ind w:firstLine="472"/>
        <w:rPr>
          <w:rFonts w:hint="default" w:ascii="仿宋_GB2312" w:hAnsi="仿宋" w:eastAsia="仿宋_GB2312" w:cs="仿宋_GB2312"/>
          <w:kern w:val="0"/>
          <w:sz w:val="32"/>
          <w:szCs w:val="32"/>
        </w:rPr>
      </w:pPr>
      <w:r>
        <w:rPr>
          <w:rFonts w:hint="default" w:ascii="仿宋_GB2312" w:hAnsi="Calibri" w:eastAsia="仿宋_GB2312" w:cs="仿宋_GB2312"/>
          <w:kern w:val="0"/>
          <w:sz w:val="32"/>
          <w:szCs w:val="32"/>
          <w:lang w:val="en-US" w:eastAsia="zh-CN" w:bidi="ar-SA"/>
        </w:rPr>
        <w:t>（1）</w:t>
      </w:r>
      <w:r>
        <w:rPr>
          <w:rFonts w:hint="default" w:ascii="仿宋_GB2312" w:hAnsi="Calibri" w:eastAsia="仿宋_GB2312" w:cs="仿宋_GB2312"/>
          <w:b/>
          <w:bCs/>
          <w:kern w:val="0"/>
          <w:sz w:val="32"/>
          <w:szCs w:val="32"/>
          <w:lang w:val="en-US" w:eastAsia="zh-CN" w:bidi="ar-SA"/>
        </w:rPr>
        <w:t>公务用车购置支出 0万元。</w:t>
      </w:r>
      <w:r>
        <w:rPr>
          <w:rFonts w:hint="default" w:ascii="仿宋_GB2312" w:hAnsi="Calibri" w:eastAsia="仿宋_GB2312" w:cs="仿宋_GB2312"/>
          <w:kern w:val="0"/>
          <w:sz w:val="32"/>
          <w:szCs w:val="32"/>
          <w:lang w:val="en-US" w:eastAsia="zh-CN" w:bidi="ar-SA"/>
        </w:rPr>
        <w:t>本年度使用财政拨款购置公务用车0 辆，开支内容：</w:t>
      </w:r>
      <w:r>
        <w:rPr>
          <w:rFonts w:hint="default" w:ascii="仿宋_GB2312" w:hAnsi="仿宋" w:eastAsia="仿宋_GB2312" w:cs="仿宋_GB2312"/>
          <w:kern w:val="0"/>
          <w:sz w:val="32"/>
          <w:szCs w:val="32"/>
        </w:rPr>
        <w:t>不存在此项内容。</w:t>
      </w:r>
      <w:r>
        <w:rPr>
          <w:rFonts w:hint="default" w:ascii="仿宋_GB2312" w:hAnsi="Calibri" w:eastAsia="仿宋_GB2312" w:cs="仿宋_GB2312"/>
          <w:kern w:val="0"/>
          <w:sz w:val="32"/>
          <w:szCs w:val="32"/>
          <w:lang w:val="en-US" w:eastAsia="zh-CN" w:bidi="ar-SA"/>
        </w:rPr>
        <w:t>与上年决算相比，增加0万元，增长0%，变动原因：</w:t>
      </w:r>
      <w:r>
        <w:rPr>
          <w:rFonts w:hint="default" w:ascii="仿宋_GB2312" w:hAnsi="仿宋" w:eastAsia="仿宋_GB2312" w:cs="仿宋_GB2312"/>
          <w:kern w:val="0"/>
          <w:sz w:val="32"/>
          <w:szCs w:val="32"/>
        </w:rPr>
        <w:t>不存在此项内容。</w:t>
      </w:r>
    </w:p>
    <w:p>
      <w:pPr>
        <w:widowControl/>
        <w:spacing w:before="240" w:after="240"/>
        <w:ind w:firstLine="472"/>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（2）</w:t>
      </w:r>
      <w:r>
        <w:rPr>
          <w:rFonts w:hint="default" w:ascii="仿宋_GB2312" w:hAnsi="Calibri" w:eastAsia="仿宋_GB2312" w:cs="仿宋_GB2312"/>
          <w:b/>
          <w:bCs/>
          <w:kern w:val="0"/>
          <w:sz w:val="32"/>
          <w:szCs w:val="32"/>
          <w:lang w:val="en-US" w:eastAsia="zh-CN" w:bidi="ar-SA"/>
        </w:rPr>
        <w:t>公务用车运行维护费支出 43.00万元。</w:t>
      </w:r>
      <w:r>
        <w:rPr>
          <w:rFonts w:hint="default" w:ascii="仿宋_GB2312" w:hAnsi="Calibri" w:eastAsia="仿宋_GB2312" w:cs="仿宋_GB2312"/>
          <w:kern w:val="0"/>
          <w:sz w:val="32"/>
          <w:szCs w:val="32"/>
          <w:lang w:val="en-US" w:eastAsia="zh-CN" w:bidi="ar-SA"/>
        </w:rPr>
        <w:t>公务用车运行维护费主要用于按规定保留的公务用车的燃料费、维修费、过桥过路费、保险费、安全奖励费用等支出。截至2024年12月31日，使用财政拨款开支的公务用车保有量为14 辆。与上年决算相比，增加8.30万元，增长23.91%，变动原因：</w:t>
      </w:r>
      <w:r>
        <w:rPr>
          <w:rFonts w:hint="eastAsia" w:ascii="仿宋_GB2312" w:hAnsi="Calibri" w:eastAsia="仿宋_GB2312" w:cs="仿宋_GB2312"/>
          <w:kern w:val="0"/>
          <w:sz w:val="32"/>
          <w:szCs w:val="32"/>
          <w:lang w:val="en-US" w:eastAsia="zh-CN" w:bidi="ar-SA"/>
        </w:rPr>
        <w:t>本年度自侦案件增多，</w:t>
      </w:r>
      <w:r>
        <w:rPr>
          <w:rFonts w:hint="default" w:ascii="仿宋_GB2312" w:hAnsi="Calibri" w:eastAsia="仿宋_GB2312" w:cs="仿宋_GB2312"/>
          <w:kern w:val="0"/>
          <w:sz w:val="32"/>
          <w:szCs w:val="32"/>
          <w:lang w:val="en-US" w:eastAsia="zh-CN" w:bidi="ar-SA"/>
        </w:rPr>
        <w:t>公务用车的燃料费、维修费</w:t>
      </w:r>
      <w:r>
        <w:rPr>
          <w:rFonts w:hint="eastAsia" w:ascii="仿宋_GB2312" w:hAnsi="Calibri" w:eastAsia="仿宋_GB2312" w:cs="仿宋_GB2312"/>
          <w:kern w:val="0"/>
          <w:sz w:val="32"/>
          <w:szCs w:val="32"/>
          <w:lang w:val="en-US" w:eastAsia="zh-CN" w:bidi="ar-SA"/>
        </w:rPr>
        <w:t>增加。</w:t>
      </w:r>
    </w:p>
    <w:p>
      <w:pPr>
        <w:widowControl/>
        <w:spacing w:before="240" w:after="240"/>
        <w:rPr>
          <w:rFonts w:ascii="Times New Roman" w:hAnsi="Times New Roman" w:eastAsia="Times New Roman" w:cs="Times New Roman"/>
          <w:kern w:val="0"/>
          <w:sz w:val="24"/>
        </w:rPr>
      </w:pPr>
      <w:r>
        <w:rPr>
          <w:rFonts w:hint="default" w:ascii="仿宋_GB2312" w:hAnsi="Calibri" w:eastAsia="仿宋_GB2312" w:cs="仿宋_GB2312"/>
          <w:kern w:val="0"/>
          <w:sz w:val="32"/>
          <w:szCs w:val="32"/>
          <w:lang w:val="en-US" w:eastAsia="zh-CN" w:bidi="ar-SA"/>
        </w:rPr>
        <w:t>    3.</w:t>
      </w:r>
      <w:r>
        <w:rPr>
          <w:rFonts w:hint="default" w:ascii="仿宋_GB2312" w:hAnsi="Calibri" w:eastAsia="仿宋_GB2312" w:cs="仿宋_GB2312"/>
          <w:b/>
          <w:bCs/>
          <w:kern w:val="0"/>
          <w:sz w:val="32"/>
          <w:szCs w:val="32"/>
          <w:lang w:val="en-US" w:eastAsia="zh-CN" w:bidi="ar-SA"/>
        </w:rPr>
        <w:t>公务接待费支出 2.10万元。</w:t>
      </w:r>
      <w:r>
        <w:rPr>
          <w:rFonts w:hint="default" w:ascii="仿宋_GB2312" w:hAnsi="Calibri" w:eastAsia="仿宋_GB2312" w:cs="仿宋_GB2312"/>
          <w:kern w:val="0"/>
          <w:sz w:val="32"/>
          <w:szCs w:val="32"/>
          <w:lang w:val="en-US" w:eastAsia="zh-CN" w:bidi="ar-SA"/>
        </w:rPr>
        <w:t>其中：国内公务接待支出 2.10万元，接待31 批次，245 人次，开支内容：</w:t>
      </w:r>
      <w:r>
        <w:rPr>
          <w:rFonts w:hint="default" w:ascii="仿宋_GB2312" w:hAnsi="仿宋" w:eastAsia="仿宋_GB2312" w:cs="仿宋_GB2312"/>
          <w:kern w:val="0"/>
          <w:sz w:val="32"/>
          <w:szCs w:val="32"/>
        </w:rPr>
        <w:t>主要用于来访人员的用餐费用；</w:t>
      </w:r>
      <w:r>
        <w:rPr>
          <w:rFonts w:hint="default" w:ascii="仿宋_GB2312" w:hAnsi="Calibri" w:eastAsia="仿宋_GB2312" w:cs="仿宋_GB2312"/>
          <w:kern w:val="0"/>
          <w:sz w:val="32"/>
          <w:szCs w:val="32"/>
          <w:lang w:val="en-US" w:eastAsia="zh-CN" w:bidi="ar-SA"/>
        </w:rPr>
        <w:t>国（境）外公务接待支出 0万元，接待0 批次，0 人次，开支内容：</w:t>
      </w:r>
      <w:r>
        <w:rPr>
          <w:rFonts w:hint="default" w:ascii="仿宋_GB2312" w:hAnsi="仿宋" w:eastAsia="仿宋_GB2312" w:cs="仿宋_GB2312"/>
          <w:kern w:val="0"/>
          <w:sz w:val="32"/>
          <w:szCs w:val="32"/>
        </w:rPr>
        <w:t>不存在此项内容。</w:t>
      </w:r>
      <w:r>
        <w:rPr>
          <w:rFonts w:hint="default" w:ascii="仿宋_GB2312" w:hAnsi="Calibri" w:eastAsia="仿宋_GB2312" w:cs="仿宋_GB2312"/>
          <w:kern w:val="0"/>
          <w:sz w:val="32"/>
          <w:szCs w:val="32"/>
          <w:lang w:val="en-US" w:eastAsia="zh-CN" w:bidi="ar-SA"/>
        </w:rPr>
        <w:t>与上年决算相比，增加0.10万元，增长5.00%，变动原因：</w:t>
      </w:r>
      <w:r>
        <w:rPr>
          <w:rFonts w:hint="eastAsia" w:ascii="仿宋_GB2312" w:hAnsi="Calibri" w:eastAsia="仿宋_GB2312" w:cs="仿宋_GB2312"/>
          <w:kern w:val="0"/>
          <w:sz w:val="32"/>
          <w:szCs w:val="32"/>
          <w:lang w:val="en-US" w:eastAsia="zh-CN" w:bidi="ar-SA"/>
        </w:rPr>
        <w:t>来访人员增多，费用增加。</w:t>
      </w:r>
    </w:p>
    <w:p>
      <w:pPr>
        <w:widowControl/>
        <w:spacing w:before="240" w:after="240"/>
        <w:jc w:val="left"/>
        <w:rPr>
          <w:rFonts w:hint="eastAsia" w:ascii="楷体" w:hAnsi="楷体" w:eastAsia="楷体" w:cs="楷体"/>
          <w:b/>
          <w:bCs/>
          <w:kern w:val="0"/>
          <w:sz w:val="32"/>
          <w:szCs w:val="32"/>
        </w:rPr>
      </w:pPr>
      <w:r>
        <w:rPr>
          <w:rFonts w:hint="eastAsia" w:ascii="楷体" w:hAnsi="楷体" w:eastAsia="楷体" w:cs="楷体"/>
          <w:b/>
          <w:bCs/>
          <w:kern w:val="0"/>
          <w:sz w:val="32"/>
          <w:szCs w:val="32"/>
        </w:rPr>
        <w:t>    九、政府性基金预算财政拨款支出决算情况说明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xml:space="preserve">  </w:t>
      </w:r>
      <w:r>
        <w:rPr>
          <w:rFonts w:hint="default" w:ascii="仿宋_GB2312" w:hAnsi="Calibri" w:eastAsia="仿宋_GB2312" w:cs="仿宋_GB2312"/>
          <w:kern w:val="0"/>
          <w:sz w:val="32"/>
          <w:szCs w:val="32"/>
          <w:lang w:val="en-US" w:eastAsia="zh-CN" w:bidi="ar-SA"/>
        </w:rPr>
        <w:t>乌拉特前旗人民检察院 2024年度政府性基金预算财政拨款支出决算 0万元。与上年决算相比，增加0万元，增长0%，变动原因本年无政府性基金预算财政拨款收、支、余。</w:t>
      </w:r>
    </w:p>
    <w:p>
      <w:pPr>
        <w:widowControl/>
        <w:spacing w:before="240" w:after="240"/>
        <w:jc w:val="left"/>
        <w:rPr>
          <w:rFonts w:hint="eastAsia" w:ascii="楷体" w:hAnsi="楷体" w:eastAsia="楷体" w:cs="楷体"/>
          <w:b/>
          <w:bCs/>
          <w:kern w:val="0"/>
          <w:sz w:val="32"/>
          <w:szCs w:val="32"/>
        </w:rPr>
      </w:pPr>
      <w:r>
        <w:rPr>
          <w:rFonts w:hint="eastAsia" w:ascii="楷体" w:hAnsi="楷体" w:eastAsia="楷体" w:cs="楷体"/>
          <w:b/>
          <w:bCs/>
          <w:kern w:val="0"/>
          <w:sz w:val="32"/>
          <w:szCs w:val="32"/>
        </w:rPr>
        <w:t>    十、国有资本经营预算财政拨款支出决算情况说明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仿宋_GB2312" w:hAnsi="仿宋_GB2312" w:eastAsia="仿宋_GB2312" w:cs="仿宋_GB2312"/>
          <w:kern w:val="0"/>
          <w:sz w:val="27"/>
          <w:szCs w:val="27"/>
        </w:rPr>
        <w:t>   </w:t>
      </w:r>
      <w:r>
        <w:rPr>
          <w:rFonts w:hint="default" w:ascii="仿宋_GB2312" w:hAnsi="Calibri" w:eastAsia="仿宋_GB2312" w:cs="仿宋_GB2312"/>
          <w:kern w:val="0"/>
          <w:sz w:val="32"/>
          <w:szCs w:val="32"/>
          <w:lang w:val="en-US" w:eastAsia="zh-CN" w:bidi="ar-SA"/>
        </w:rPr>
        <w:t xml:space="preserve"> 乌拉特前旗人民检察院 2024年度国有资本经营预算财政拨款支出决算 0万元。与上年决算相比，增加 0万元，增长 0%，变动原因：</w:t>
      </w:r>
      <w:r>
        <w:rPr>
          <w:rFonts w:hint="default" w:ascii="仿宋_GB2312" w:hAnsi="仿宋" w:eastAsia="仿宋_GB2312" w:cs="仿宋_GB2312"/>
          <w:kern w:val="0"/>
          <w:sz w:val="32"/>
          <w:szCs w:val="32"/>
        </w:rPr>
        <w:t>本部门无国有资本经营预算财政拨款收、支、余。</w:t>
      </w:r>
    </w:p>
    <w:p>
      <w:pPr>
        <w:widowControl/>
        <w:spacing w:before="240" w:after="240"/>
        <w:jc w:val="left"/>
        <w:rPr>
          <w:rFonts w:hint="eastAsia" w:ascii="楷体" w:hAnsi="楷体" w:eastAsia="楷体" w:cs="楷体"/>
          <w:b/>
          <w:bCs/>
          <w:kern w:val="0"/>
          <w:sz w:val="32"/>
          <w:szCs w:val="32"/>
        </w:rPr>
      </w:pPr>
      <w:r>
        <w:rPr>
          <w:rFonts w:hint="eastAsia" w:ascii="楷体" w:hAnsi="楷体" w:eastAsia="楷体" w:cs="楷体"/>
          <w:b/>
          <w:bCs/>
          <w:kern w:val="0"/>
          <w:sz w:val="32"/>
          <w:szCs w:val="32"/>
        </w:rPr>
        <w:t>    十一、机关运行经费（公用经费）支出决算情况说明</w:t>
      </w:r>
    </w:p>
    <w:p>
      <w:pPr>
        <w:widowControl/>
        <w:spacing w:before="240" w:after="240"/>
        <w:rPr>
          <w:rFonts w:ascii="Times New Roman" w:hAnsi="Times New Roman" w:eastAsia="Times New Roman" w:cs="Times New Roman"/>
          <w:color w:val="0000FF"/>
          <w:kern w:val="0"/>
          <w:sz w:val="24"/>
        </w:rPr>
      </w:pPr>
      <w:r>
        <w:rPr>
          <w:rFonts w:ascii="仿宋_GB2312" w:hAnsi="仿宋_GB2312" w:eastAsia="仿宋_GB2312" w:cs="仿宋_GB2312"/>
          <w:kern w:val="0"/>
          <w:sz w:val="27"/>
          <w:szCs w:val="27"/>
        </w:rPr>
        <w:t>   </w:t>
      </w:r>
      <w:r>
        <w:rPr>
          <w:rFonts w:hint="default" w:ascii="仿宋_GB2312" w:hAnsi="Calibri" w:eastAsia="仿宋_GB2312" w:cs="仿宋_GB2312"/>
          <w:kern w:val="0"/>
          <w:sz w:val="32"/>
          <w:szCs w:val="32"/>
          <w:lang w:val="en-US" w:eastAsia="zh-CN" w:bidi="ar-SA"/>
        </w:rPr>
        <w:t xml:space="preserve"> 乌拉特前旗人民检察院 2024年度公用经费支出决算 92.09万元，与上年决算相比，增加0.16万元，增长0.17%，变动原因：</w:t>
      </w:r>
      <w:r>
        <w:rPr>
          <w:rFonts w:hint="eastAsia" w:ascii="仿宋_GB2312" w:hAnsi="Calibri" w:eastAsia="仿宋_GB2312" w:cs="仿宋_GB2312"/>
          <w:kern w:val="0"/>
          <w:sz w:val="32"/>
          <w:szCs w:val="32"/>
          <w:lang w:val="en-US" w:eastAsia="zh-CN" w:bidi="ar-SA"/>
        </w:rPr>
        <w:t>工会经费、福利费年初预算增加。</w:t>
      </w:r>
      <w:r>
        <w:rPr>
          <w:rFonts w:hint="default" w:ascii="仿宋_GB2312" w:hAnsi="Calibri" w:eastAsia="仿宋_GB2312" w:cs="仿宋_GB2312"/>
          <w:kern w:val="0"/>
          <w:sz w:val="32"/>
          <w:szCs w:val="32"/>
          <w:lang w:val="en-US" w:eastAsia="zh-CN" w:bidi="ar-SA"/>
        </w:rPr>
        <w:t>其中，机关运行经费支出决算 92.09万元。比上年决算相比，增加0.64万元，增长0.70%，变动原因：</w:t>
      </w:r>
      <w:r>
        <w:rPr>
          <w:rFonts w:hint="eastAsia" w:ascii="仿宋_GB2312" w:hAnsi="Calibri" w:eastAsia="仿宋_GB2312" w:cs="仿宋_GB2312"/>
          <w:kern w:val="0"/>
          <w:sz w:val="32"/>
          <w:szCs w:val="32"/>
          <w:lang w:val="en-US" w:eastAsia="zh-CN" w:bidi="ar-SA"/>
        </w:rPr>
        <w:t>工会经费、福利费年初预算增加。</w:t>
      </w:r>
    </w:p>
    <w:p>
      <w:pPr>
        <w:widowControl/>
        <w:spacing w:before="240" w:after="240"/>
        <w:jc w:val="left"/>
        <w:rPr>
          <w:rFonts w:hint="eastAsia" w:ascii="楷体" w:hAnsi="楷体" w:eastAsia="楷体" w:cs="楷体"/>
          <w:b/>
          <w:bCs/>
          <w:kern w:val="0"/>
          <w:sz w:val="32"/>
          <w:szCs w:val="32"/>
        </w:rPr>
      </w:pPr>
      <w:r>
        <w:rPr>
          <w:rFonts w:hint="eastAsia" w:ascii="楷体" w:hAnsi="楷体" w:eastAsia="楷体" w:cs="楷体"/>
          <w:b/>
          <w:bCs/>
          <w:kern w:val="0"/>
          <w:sz w:val="32"/>
          <w:szCs w:val="32"/>
        </w:rPr>
        <w:t>    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hint="default" w:ascii="仿宋_GB2312" w:hAnsi="Calibri" w:eastAsia="仿宋_GB2312" w:cs="仿宋_GB2312"/>
          <w:kern w:val="0"/>
          <w:sz w:val="32"/>
          <w:szCs w:val="32"/>
          <w:lang w:val="en-US" w:eastAsia="zh-CN" w:bidi="ar-SA"/>
        </w:rPr>
        <w:t xml:space="preserve"> 乌拉特前旗人民检察院 2024年度政府采购支出总额 132.50万元，其中：政府采购货物支出 27.70万元、政府采购工程支出 0万元、政府采购服务支出 104.80万元。政府采购授予中小企业合同金额 114.78万元，占政府采购支出总额的</w:t>
      </w:r>
      <w:r>
        <w:rPr>
          <w:rFonts w:hint="eastAsia" w:ascii="仿宋_GB2312" w:hAnsi="Calibri" w:eastAsia="仿宋_GB2312" w:cs="仿宋_GB2312"/>
          <w:kern w:val="0"/>
          <w:sz w:val="32"/>
          <w:szCs w:val="32"/>
          <w:lang w:val="en-US" w:eastAsia="zh-CN" w:bidi="ar-SA"/>
        </w:rPr>
        <w:t>86.63</w:t>
      </w:r>
      <w:r>
        <w:rPr>
          <w:rFonts w:hint="default" w:ascii="仿宋_GB2312" w:hAnsi="Calibri" w:eastAsia="仿宋_GB2312" w:cs="仿宋_GB2312"/>
          <w:kern w:val="0"/>
          <w:sz w:val="32"/>
          <w:szCs w:val="32"/>
          <w:lang w:val="en-US" w:eastAsia="zh-CN" w:bidi="ar-SA"/>
        </w:rPr>
        <w:t>%，其中：授予小微企业合同金额  112.42万元，占政府采购支出总额的</w:t>
      </w:r>
      <w:r>
        <w:rPr>
          <w:rFonts w:hint="eastAsia" w:ascii="仿宋_GB2312" w:hAnsi="Calibri" w:eastAsia="仿宋_GB2312" w:cs="仿宋_GB2312"/>
          <w:kern w:val="0"/>
          <w:sz w:val="32"/>
          <w:szCs w:val="32"/>
          <w:lang w:val="en-US" w:eastAsia="zh-CN" w:bidi="ar-SA"/>
        </w:rPr>
        <w:t>84.85</w:t>
      </w:r>
      <w:r>
        <w:rPr>
          <w:rFonts w:hint="default" w:ascii="仿宋_GB2312" w:hAnsi="Calibri" w:eastAsia="仿宋_GB2312" w:cs="仿宋_GB2312"/>
          <w:kern w:val="0"/>
          <w:sz w:val="32"/>
          <w:szCs w:val="32"/>
          <w:lang w:val="en-US" w:eastAsia="zh-CN" w:bidi="ar-SA"/>
        </w:rPr>
        <w:t>%；货物采购授予中小企业合同金额占货物支出金额的</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%，工程采购授予中小企业合同金额占工程支出金额的</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%，服务采购授予中小企业合同金额占服务支出金额的</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楷体" w:hAnsi="楷体" w:eastAsia="楷体" w:cs="楷体"/>
          <w:b/>
          <w:bCs/>
          <w:kern w:val="0"/>
          <w:sz w:val="32"/>
          <w:szCs w:val="32"/>
        </w:rPr>
        <w:t xml:space="preserve"> 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default" w:ascii="仿宋_GB2312" w:hAnsi="Calibri" w:eastAsia="仿宋_GB2312" w:cs="仿宋_GB2312"/>
          <w:kern w:val="0"/>
          <w:sz w:val="32"/>
          <w:szCs w:val="32"/>
          <w:lang w:val="en-US" w:eastAsia="zh-CN" w:bidi="ar-SA"/>
        </w:rPr>
        <w:t>乌拉特前旗人民检察院 截至2024年12月31日，本部门（单位）共有车辆 14辆，其中：副部（省）级及以上领导用车0 辆、主要负责人用车 0辆、机要通信用车 1辆、应急保障用车 0辆、执法执勤用车 13辆、特种专业技术用车 0辆、离退休干部服务用车 0辆，其他用车 0辆；单价100万元（含）以上的设备（不含车辆） 2台（套）。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楷体" w:hAnsi="楷体" w:eastAsia="楷体" w:cs="楷体"/>
          <w:b/>
          <w:bCs/>
          <w:kern w:val="0"/>
          <w:sz w:val="32"/>
          <w:szCs w:val="32"/>
        </w:rPr>
        <w:t>  十四、预算绩效情况说明</w:t>
      </w:r>
    </w:p>
    <w:p>
      <w:pPr>
        <w:widowControl/>
        <w:spacing w:before="240" w:after="24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    （一）预算绩效管理工作开展情况。</w:t>
      </w:r>
    </w:p>
    <w:p>
      <w:pPr>
        <w:widowControl/>
        <w:spacing w:before="240" w:after="240"/>
        <w:ind w:firstLine="446"/>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乌拉特前旗人民检察院 根据预算绩效管理要求组织对2024年一般公共预算项目支出全面开展绩效自评，其中一级项目</w:t>
      </w:r>
      <w:r>
        <w:rPr>
          <w:rFonts w:hint="eastAsia" w:ascii="仿宋_GB2312" w:hAnsi="Calibri" w:eastAsia="仿宋_GB2312" w:cs="仿宋_GB2312"/>
          <w:kern w:val="0"/>
          <w:sz w:val="32"/>
          <w:szCs w:val="32"/>
          <w:lang w:val="en-US" w:eastAsia="zh-CN" w:bidi="ar-SA"/>
        </w:rPr>
        <w:t>2</w:t>
      </w:r>
      <w:r>
        <w:rPr>
          <w:rFonts w:hint="default" w:ascii="仿宋_GB2312" w:hAnsi="Calibri" w:eastAsia="仿宋_GB2312" w:cs="仿宋_GB2312"/>
          <w:kern w:val="0"/>
          <w:sz w:val="32"/>
          <w:szCs w:val="32"/>
          <w:lang w:val="en-US" w:eastAsia="zh-CN" w:bidi="ar-SA"/>
        </w:rPr>
        <w:t>个，二级项目</w:t>
      </w:r>
      <w:r>
        <w:rPr>
          <w:rFonts w:hint="eastAsia" w:ascii="仿宋_GB2312" w:hAnsi="Calibri" w:eastAsia="仿宋_GB2312" w:cs="仿宋_GB2312"/>
          <w:kern w:val="0"/>
          <w:sz w:val="32"/>
          <w:szCs w:val="32"/>
          <w:lang w:val="en-US" w:eastAsia="zh-CN" w:bidi="ar-SA"/>
        </w:rPr>
        <w:t>0</w:t>
      </w:r>
      <w:r>
        <w:rPr>
          <w:rFonts w:hint="default" w:ascii="仿宋_GB2312" w:hAnsi="Calibri" w:eastAsia="仿宋_GB2312" w:cs="仿宋_GB2312"/>
          <w:kern w:val="0"/>
          <w:sz w:val="32"/>
          <w:szCs w:val="32"/>
          <w:lang w:val="en-US" w:eastAsia="zh-CN" w:bidi="ar-SA"/>
        </w:rPr>
        <w:t>个，共涉及资金</w:t>
      </w:r>
      <w:r>
        <w:rPr>
          <w:rFonts w:hint="eastAsia" w:ascii="仿宋_GB2312" w:hAnsi="Calibri" w:eastAsia="仿宋_GB2312" w:cs="仿宋_GB2312"/>
          <w:kern w:val="0"/>
          <w:sz w:val="32"/>
          <w:szCs w:val="32"/>
          <w:lang w:val="en-US" w:eastAsia="zh-CN" w:bidi="ar-SA"/>
        </w:rPr>
        <w:t>425.00</w:t>
      </w:r>
      <w:r>
        <w:rPr>
          <w:rFonts w:hint="default" w:ascii="仿宋_GB2312" w:hAnsi="Calibri" w:eastAsia="仿宋_GB2312" w:cs="仿宋_GB2312"/>
          <w:kern w:val="0"/>
          <w:sz w:val="32"/>
          <w:szCs w:val="32"/>
          <w:lang w:val="en-US" w:eastAsia="zh-CN" w:bidi="ar-SA"/>
        </w:rPr>
        <w:t>万元，占一般公共预算项目支出总额的100%；政府性基金预算项目</w:t>
      </w:r>
      <w:r>
        <w:rPr>
          <w:rFonts w:hint="eastAsia" w:ascii="仿宋_GB2312" w:hAnsi="Calibri" w:eastAsia="仿宋_GB2312" w:cs="仿宋_GB2312"/>
          <w:kern w:val="0"/>
          <w:sz w:val="32"/>
          <w:szCs w:val="32"/>
          <w:lang w:val="en-US" w:eastAsia="zh-CN" w:bidi="ar-SA"/>
        </w:rPr>
        <w:t>0</w:t>
      </w:r>
      <w:r>
        <w:rPr>
          <w:rFonts w:hint="default" w:ascii="仿宋_GB2312" w:hAnsi="Calibri" w:eastAsia="仿宋_GB2312" w:cs="仿宋_GB2312"/>
          <w:kern w:val="0"/>
          <w:sz w:val="32"/>
          <w:szCs w:val="32"/>
          <w:lang w:val="en-US" w:eastAsia="zh-CN" w:bidi="ar-SA"/>
        </w:rPr>
        <w:t>个，其中，一级项目 </w:t>
      </w:r>
      <w:r>
        <w:rPr>
          <w:rFonts w:hint="eastAsia" w:ascii="仿宋_GB2312" w:hAnsi="Calibri" w:eastAsia="仿宋_GB2312" w:cs="仿宋_GB2312"/>
          <w:kern w:val="0"/>
          <w:sz w:val="32"/>
          <w:szCs w:val="32"/>
          <w:lang w:val="en-US" w:eastAsia="zh-CN" w:bidi="ar-SA"/>
        </w:rPr>
        <w:t>0</w:t>
      </w:r>
      <w:r>
        <w:rPr>
          <w:rFonts w:hint="default" w:ascii="仿宋_GB2312" w:hAnsi="Calibri" w:eastAsia="仿宋_GB2312" w:cs="仿宋_GB2312"/>
          <w:kern w:val="0"/>
          <w:sz w:val="32"/>
          <w:szCs w:val="32"/>
          <w:lang w:val="en-US" w:eastAsia="zh-CN" w:bidi="ar-SA"/>
        </w:rPr>
        <w:t> 个，二级项目</w:t>
      </w:r>
      <w:r>
        <w:rPr>
          <w:rFonts w:hint="eastAsia" w:ascii="仿宋_GB2312" w:hAnsi="Calibri" w:eastAsia="仿宋_GB2312" w:cs="仿宋_GB2312"/>
          <w:kern w:val="0"/>
          <w:sz w:val="32"/>
          <w:szCs w:val="32"/>
          <w:lang w:val="en-US" w:eastAsia="zh-CN" w:bidi="ar-SA"/>
        </w:rPr>
        <w:t>0</w:t>
      </w:r>
      <w:r>
        <w:rPr>
          <w:rFonts w:hint="default" w:ascii="仿宋_GB2312" w:hAnsi="Calibri" w:eastAsia="仿宋_GB2312" w:cs="仿宋_GB2312"/>
          <w:kern w:val="0"/>
          <w:sz w:val="32"/>
          <w:szCs w:val="32"/>
          <w:lang w:val="en-US" w:eastAsia="zh-CN" w:bidi="ar-SA"/>
        </w:rPr>
        <w:t>个，共涉及资金</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万元，占应纳入绩效自评的政府性基金预算项目支出总额的</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w:t>
      </w:r>
    </w:p>
    <w:p>
      <w:pPr>
        <w:widowControl/>
        <w:spacing w:before="240" w:after="240"/>
        <w:ind w:firstLine="446"/>
        <w:rPr>
          <w:rFonts w:ascii="Times New Roman" w:hAnsi="Times New Roman" w:eastAsia="Times New Roman" w:cs="Times New Roman"/>
          <w:kern w:val="0"/>
          <w:sz w:val="24"/>
        </w:rPr>
      </w:pPr>
      <w:r>
        <w:rPr>
          <w:rFonts w:hint="default" w:ascii="仿宋_GB2312" w:hAnsi="Calibri" w:eastAsia="仿宋_GB2312" w:cs="仿宋_GB2312"/>
          <w:kern w:val="0"/>
          <w:sz w:val="32"/>
          <w:szCs w:val="32"/>
          <w:lang w:val="en-US" w:eastAsia="zh-CN" w:bidi="ar-SA"/>
        </w:rPr>
        <w:t> 组织对“办案（业务）经费”、“</w:t>
      </w:r>
      <w:r>
        <w:rPr>
          <w:rFonts w:hint="eastAsia" w:ascii="仿宋_GB2312" w:hAnsi="Calibri" w:eastAsia="仿宋_GB2312" w:cs="仿宋_GB2312"/>
          <w:kern w:val="0"/>
          <w:sz w:val="32"/>
          <w:szCs w:val="32"/>
          <w:lang w:val="en-US" w:eastAsia="zh-CN" w:bidi="ar-SA"/>
        </w:rPr>
        <w:t>业务装备费</w:t>
      </w:r>
      <w:r>
        <w:rPr>
          <w:rFonts w:hint="default" w:ascii="仿宋_GB2312" w:hAnsi="Calibri" w:eastAsia="仿宋_GB2312" w:cs="仿宋_GB2312"/>
          <w:kern w:val="0"/>
          <w:sz w:val="32"/>
          <w:szCs w:val="32"/>
          <w:lang w:val="en-US" w:eastAsia="zh-CN" w:bidi="ar-SA"/>
        </w:rPr>
        <w:t>” </w:t>
      </w:r>
      <w:r>
        <w:rPr>
          <w:rFonts w:hint="eastAsia" w:ascii="仿宋_GB2312" w:hAnsi="Calibri" w:eastAsia="仿宋_GB2312" w:cs="仿宋_GB2312"/>
          <w:kern w:val="0"/>
          <w:sz w:val="32"/>
          <w:szCs w:val="32"/>
          <w:lang w:val="en-US" w:eastAsia="zh-CN" w:bidi="ar-SA"/>
        </w:rPr>
        <w:t>2</w:t>
      </w:r>
      <w:r>
        <w:rPr>
          <w:rFonts w:hint="default" w:ascii="仿宋_GB2312" w:hAnsi="Calibri" w:eastAsia="仿宋_GB2312" w:cs="仿宋_GB2312"/>
          <w:kern w:val="0"/>
          <w:sz w:val="32"/>
          <w:szCs w:val="32"/>
          <w:lang w:val="en-US" w:eastAsia="zh-CN" w:bidi="ar-SA"/>
        </w:rPr>
        <w:t>个项目开展了部门评价，涉及一般公共预算支出</w:t>
      </w:r>
      <w:r>
        <w:rPr>
          <w:rFonts w:hint="eastAsia" w:ascii="仿宋_GB2312" w:hAnsi="Calibri" w:eastAsia="仿宋_GB2312" w:cs="仿宋_GB2312"/>
          <w:kern w:val="0"/>
          <w:sz w:val="32"/>
          <w:szCs w:val="32"/>
          <w:lang w:val="en-US" w:eastAsia="zh-CN" w:bidi="ar-SA"/>
        </w:rPr>
        <w:t>425.00</w:t>
      </w:r>
      <w:r>
        <w:rPr>
          <w:rFonts w:hint="default" w:ascii="仿宋_GB2312" w:hAnsi="Calibri" w:eastAsia="仿宋_GB2312" w:cs="仿宋_GB2312"/>
          <w:kern w:val="0"/>
          <w:sz w:val="32"/>
          <w:szCs w:val="32"/>
          <w:lang w:val="en-US" w:eastAsia="zh-CN" w:bidi="ar-SA"/>
        </w:rPr>
        <w:t>万元，政府性基金支出</w:t>
      </w:r>
      <w:r>
        <w:rPr>
          <w:rFonts w:hint="eastAsia" w:ascii="仿宋_GB2312" w:hAnsi="Calibri" w:eastAsia="仿宋_GB2312" w:cs="仿宋_GB2312"/>
          <w:kern w:val="0"/>
          <w:sz w:val="32"/>
          <w:szCs w:val="32"/>
          <w:lang w:val="en-US" w:eastAsia="zh-CN" w:bidi="ar-SA"/>
        </w:rPr>
        <w:t>0.00</w:t>
      </w:r>
      <w:r>
        <w:rPr>
          <w:rFonts w:hint="default" w:ascii="仿宋_GB2312" w:hAnsi="Calibri" w:eastAsia="仿宋_GB2312" w:cs="仿宋_GB2312"/>
          <w:kern w:val="0"/>
          <w:sz w:val="32"/>
          <w:szCs w:val="32"/>
          <w:lang w:val="en-US" w:eastAsia="zh-CN" w:bidi="ar-SA"/>
        </w:rPr>
        <w:t>万元。其中，</w:t>
      </w:r>
      <w:r>
        <w:rPr>
          <w:rFonts w:hint="eastAsia" w:ascii="仿宋_GB2312" w:hAnsi="Calibri" w:eastAsia="仿宋_GB2312" w:cs="仿宋_GB2312"/>
          <w:kern w:val="0"/>
          <w:sz w:val="32"/>
          <w:szCs w:val="32"/>
          <w:lang w:val="en-US" w:eastAsia="zh-CN" w:bidi="ar-SA"/>
        </w:rPr>
        <w:t>未对</w:t>
      </w:r>
      <w:r>
        <w:rPr>
          <w:rFonts w:hint="default" w:ascii="仿宋_GB2312" w:hAnsi="Calibri" w:eastAsia="仿宋_GB2312" w:cs="仿宋_GB2312"/>
          <w:kern w:val="0"/>
          <w:sz w:val="32"/>
          <w:szCs w:val="32"/>
          <w:lang w:val="en-US" w:eastAsia="zh-CN" w:bidi="ar-SA"/>
        </w:rPr>
        <w:t>“办案（业务）经费”、“</w:t>
      </w:r>
      <w:r>
        <w:rPr>
          <w:rFonts w:hint="eastAsia" w:ascii="仿宋_GB2312" w:hAnsi="Calibri" w:eastAsia="仿宋_GB2312" w:cs="仿宋_GB2312"/>
          <w:kern w:val="0"/>
          <w:sz w:val="32"/>
          <w:szCs w:val="32"/>
          <w:lang w:val="en-US" w:eastAsia="zh-CN" w:bidi="ar-SA"/>
        </w:rPr>
        <w:t>业务装备费</w:t>
      </w:r>
      <w:r>
        <w:rPr>
          <w:rFonts w:hint="default" w:ascii="仿宋_GB2312" w:hAnsi="Calibri" w:eastAsia="仿宋_GB2312" w:cs="仿宋_GB2312"/>
          <w:kern w:val="0"/>
          <w:sz w:val="32"/>
          <w:szCs w:val="32"/>
          <w:lang w:val="en-US" w:eastAsia="zh-CN" w:bidi="ar-SA"/>
        </w:rPr>
        <w:t>”项目分别委托相关第三方机构开展绩效评价。</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仿宋" w:hAnsi="仿宋" w:eastAsia="仿宋" w:cs="仿宋"/>
          <w:b/>
          <w:bCs/>
          <w:kern w:val="0"/>
          <w:sz w:val="32"/>
          <w:szCs w:val="32"/>
        </w:rPr>
        <w:t>（二）部门（单位）决算中项目绩效自评结果。</w:t>
      </w:r>
    </w:p>
    <w:p>
      <w:pPr>
        <w:widowControl/>
        <w:spacing w:before="240" w:after="240"/>
        <w:ind w:firstLine="420"/>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乌拉特前旗人民检察院 2024年度在决算中反映</w:t>
      </w:r>
      <w:r>
        <w:rPr>
          <w:rFonts w:hint="eastAsia" w:ascii="仿宋_GB2312" w:hAnsi="Calibri" w:eastAsia="仿宋_GB2312" w:cs="仿宋_GB2312"/>
          <w:kern w:val="0"/>
          <w:sz w:val="32"/>
          <w:szCs w:val="32"/>
          <w:lang w:val="en-US" w:eastAsia="zh-CN" w:bidi="ar-SA"/>
        </w:rPr>
        <w:t>2</w:t>
      </w:r>
      <w:r>
        <w:rPr>
          <w:rFonts w:hint="default" w:ascii="仿宋_GB2312" w:hAnsi="Calibri" w:eastAsia="仿宋_GB2312" w:cs="仿宋_GB2312"/>
          <w:kern w:val="0"/>
          <w:sz w:val="32"/>
          <w:szCs w:val="32"/>
          <w:lang w:val="en-US" w:eastAsia="zh-CN" w:bidi="ar-SA"/>
        </w:rPr>
        <w:t>个一般公共预算项目，以及</w:t>
      </w:r>
      <w:r>
        <w:rPr>
          <w:rFonts w:hint="eastAsia" w:ascii="仿宋_GB2312" w:hAnsi="Calibri" w:eastAsia="仿宋_GB2312" w:cs="仿宋_GB2312"/>
          <w:kern w:val="0"/>
          <w:sz w:val="32"/>
          <w:szCs w:val="32"/>
          <w:lang w:val="en-US" w:eastAsia="zh-CN" w:bidi="ar-SA"/>
        </w:rPr>
        <w:t>0</w:t>
      </w:r>
      <w:r>
        <w:rPr>
          <w:rFonts w:hint="default" w:ascii="仿宋_GB2312" w:hAnsi="Calibri" w:eastAsia="仿宋_GB2312" w:cs="仿宋_GB2312"/>
          <w:kern w:val="0"/>
          <w:sz w:val="32"/>
          <w:szCs w:val="32"/>
          <w:lang w:val="en-US" w:eastAsia="zh-CN" w:bidi="ar-SA"/>
        </w:rPr>
        <w:t>个政府性基金项目，共</w:t>
      </w:r>
      <w:r>
        <w:rPr>
          <w:rFonts w:hint="eastAsia" w:ascii="仿宋_GB2312" w:hAnsi="Calibri" w:eastAsia="仿宋_GB2312" w:cs="仿宋_GB2312"/>
          <w:kern w:val="0"/>
          <w:sz w:val="32"/>
          <w:szCs w:val="32"/>
          <w:lang w:val="en-US" w:eastAsia="zh-CN" w:bidi="ar-SA"/>
        </w:rPr>
        <w:t>2</w:t>
      </w:r>
      <w:r>
        <w:rPr>
          <w:rFonts w:hint="default" w:ascii="仿宋_GB2312" w:hAnsi="Calibri" w:eastAsia="仿宋_GB2312" w:cs="仿宋_GB2312"/>
          <w:kern w:val="0"/>
          <w:sz w:val="32"/>
          <w:szCs w:val="32"/>
          <w:lang w:val="en-US" w:eastAsia="zh-CN" w:bidi="ar-SA"/>
        </w:rPr>
        <w:t>个项目的绩效自评结果。</w:t>
      </w:r>
    </w:p>
    <w:p>
      <w:pPr>
        <w:widowControl/>
        <w:spacing w:before="240" w:after="240"/>
        <w:ind w:firstLine="420"/>
      </w:pPr>
      <w:r>
        <w:rPr>
          <w:rFonts w:hint="default" w:ascii="仿宋_GB2312" w:hAnsi="仿宋" w:eastAsia="仿宋_GB2312" w:cs="宋体"/>
          <w:kern w:val="0"/>
          <w:sz w:val="32"/>
          <w:szCs w:val="32"/>
        </w:rPr>
        <w:t>1.</w:t>
      </w:r>
      <w:r>
        <w:rPr>
          <w:rFonts w:hint="default" w:ascii="仿宋_GB2312" w:hAnsi="仿宋" w:eastAsia="仿宋_GB2312" w:cs="仿宋_GB2312"/>
          <w:kern w:val="0"/>
          <w:sz w:val="32"/>
          <w:szCs w:val="32"/>
        </w:rPr>
        <w:t>办案（业务）经费项目自评综述：根据年初设定的绩效目标，项目自评得分</w:t>
      </w:r>
      <w:r>
        <w:rPr>
          <w:rFonts w:hint="eastAsia" w:ascii="仿宋_GB2312" w:hAnsi="仿宋" w:eastAsia="仿宋_GB2312" w:cs="宋体"/>
          <w:kern w:val="0"/>
          <w:sz w:val="32"/>
          <w:szCs w:val="32"/>
          <w:lang w:val="en-US" w:eastAsia="zh-CN"/>
        </w:rPr>
        <w:t>97.10</w:t>
      </w:r>
      <w:r>
        <w:rPr>
          <w:rFonts w:hint="default" w:ascii="仿宋_GB2312" w:hAnsi="仿宋" w:eastAsia="仿宋_GB2312" w:cs="宋体"/>
          <w:kern w:val="0"/>
          <w:sz w:val="32"/>
          <w:szCs w:val="32"/>
        </w:rPr>
        <w:t>分。全年预算数为</w:t>
      </w:r>
      <w:r>
        <w:rPr>
          <w:rFonts w:hint="eastAsia" w:ascii="仿宋_GB2312" w:hAnsi="仿宋" w:eastAsia="仿宋_GB2312" w:cs="宋体"/>
          <w:kern w:val="0"/>
          <w:sz w:val="32"/>
          <w:szCs w:val="32"/>
          <w:lang w:val="en-US" w:eastAsia="zh-CN"/>
        </w:rPr>
        <w:t>357.78</w:t>
      </w:r>
      <w:r>
        <w:rPr>
          <w:rFonts w:hint="default" w:ascii="仿宋_GB2312" w:hAnsi="仿宋" w:eastAsia="仿宋_GB2312" w:cs="宋体"/>
          <w:kern w:val="0"/>
          <w:sz w:val="32"/>
          <w:szCs w:val="32"/>
        </w:rPr>
        <w:t>万元，执行数为</w:t>
      </w:r>
      <w:r>
        <w:rPr>
          <w:rFonts w:hint="eastAsia" w:ascii="仿宋_GB2312" w:hAnsi="仿宋" w:eastAsia="仿宋_GB2312" w:cs="宋体"/>
          <w:kern w:val="0"/>
          <w:sz w:val="32"/>
          <w:szCs w:val="32"/>
          <w:lang w:val="en-US" w:eastAsia="zh-CN"/>
        </w:rPr>
        <w:t>357.78</w:t>
      </w:r>
      <w:r>
        <w:rPr>
          <w:rFonts w:hint="default" w:ascii="仿宋_GB2312" w:hAnsi="仿宋" w:eastAsia="仿宋_GB2312" w:cs="宋体"/>
          <w:kern w:val="0"/>
          <w:sz w:val="32"/>
          <w:szCs w:val="32"/>
        </w:rPr>
        <w:t>万元，完成预算的100%。项目绩效目标完成情况：</w:t>
      </w:r>
      <w:r>
        <w:rPr>
          <w:rFonts w:hint="default" w:ascii="仿宋_GB2312" w:hAnsi="仿宋" w:eastAsia="仿宋_GB2312" w:cs="仿宋_GB2312"/>
          <w:kern w:val="0"/>
          <w:sz w:val="32"/>
          <w:szCs w:val="32"/>
        </w:rPr>
        <w:t>主要用于检察院办案业务等特定工作所需要的支出</w:t>
      </w:r>
      <w:r>
        <w:rPr>
          <w:rFonts w:hint="default" w:ascii="仿宋_GB2312" w:hAnsi="仿宋" w:eastAsia="仿宋_GB2312" w:cs="宋体"/>
          <w:kern w:val="0"/>
          <w:sz w:val="32"/>
          <w:szCs w:val="32"/>
        </w:rPr>
        <w:t>, 保障我院办理公诉和审判监督、侦查监督、民事监督、检所检察、控告申诉、公益诉讼等案件所需经费，维护了司法公正，维护了宪法法律的权威、维护社会稳定、让人民群众在每一个司法案件中按收到公平正义，达到年初设定的绩效目表任务</w:t>
      </w:r>
      <w:r>
        <w:rPr>
          <w:rFonts w:hint="default" w:ascii="仿宋_GB2312" w:hAnsi="仿宋" w:eastAsia="仿宋_GB2312" w:cs="仿宋_GB2312"/>
          <w:kern w:val="0"/>
          <w:sz w:val="32"/>
          <w:szCs w:val="32"/>
        </w:rPr>
        <w:t>。</w:t>
      </w:r>
      <w:r>
        <w:rPr>
          <w:rFonts w:hint="eastAsia" w:ascii="仿宋_GB2312" w:hAnsi="仿宋" w:eastAsia="仿宋_GB2312" w:cs="仿宋_GB2312"/>
          <w:kern w:val="0"/>
          <w:sz w:val="32"/>
          <w:szCs w:val="32"/>
          <w:lang w:eastAsia="zh-CN"/>
        </w:rPr>
        <w:t>主要包括</w:t>
      </w:r>
      <w:r>
        <w:rPr>
          <w:rFonts w:hint="eastAsia" w:ascii="仿宋_GB2312" w:hAnsi="仿宋" w:eastAsia="仿宋_GB2312" w:cs="宋体"/>
          <w:kern w:val="0"/>
          <w:sz w:val="32"/>
          <w:szCs w:val="32"/>
          <w:lang w:eastAsia="zh-CN"/>
        </w:rPr>
        <w:t>受</w:t>
      </w:r>
      <w:r>
        <w:rPr>
          <w:rFonts w:hint="eastAsia" w:ascii="仿宋_GB2312" w:hAnsi="仿宋_GB2312" w:eastAsia="仿宋_GB2312" w:cs="仿宋_GB2312"/>
          <w:color w:val="auto"/>
          <w:sz w:val="32"/>
          <w:szCs w:val="22"/>
          <w:lang w:val="en-US" w:eastAsia="zh-CN"/>
        </w:rPr>
        <w:t>理案件的数量完成931件、审结案件完成911件、遵守</w:t>
      </w:r>
      <w:r>
        <w:rPr>
          <w:rFonts w:hint="default" w:ascii="仿宋_GB2312" w:hAnsi="仿宋_GB2312" w:eastAsia="仿宋_GB2312" w:cs="仿宋_GB2312"/>
          <w:color w:val="auto"/>
          <w:sz w:val="32"/>
          <w:szCs w:val="22"/>
          <w:lang w:val="en-US" w:eastAsia="zh-CN"/>
        </w:rPr>
        <w:t>培训</w:t>
      </w:r>
      <w:r>
        <w:rPr>
          <w:rFonts w:hint="eastAsia" w:ascii="仿宋_GB2312" w:hAnsi="仿宋_GB2312" w:eastAsia="仿宋_GB2312" w:cs="仿宋_GB2312"/>
          <w:color w:val="auto"/>
          <w:sz w:val="32"/>
          <w:szCs w:val="22"/>
          <w:lang w:val="en-US" w:eastAsia="zh-CN"/>
        </w:rPr>
        <w:t>费、差旅费补助标准等。</w:t>
      </w:r>
      <w:r>
        <w:rPr>
          <w:rFonts w:hint="default" w:ascii="仿宋_GB2312" w:hAnsi="仿宋" w:eastAsia="仿宋_GB2312" w:cs="仿宋_GB2312"/>
          <w:kern w:val="0"/>
          <w:sz w:val="32"/>
          <w:szCs w:val="32"/>
        </w:rPr>
        <w:t>发现的主要问题及原因</w:t>
      </w:r>
      <w:r>
        <w:rPr>
          <w:rFonts w:hint="eastAsia" w:ascii="仿宋_GB2312" w:hAnsi="仿宋" w:eastAsia="仿宋_GB2312" w:cs="仿宋_GB2312"/>
          <w:kern w:val="0"/>
          <w:sz w:val="32"/>
          <w:szCs w:val="32"/>
          <w:lang w:eastAsia="zh-CN"/>
        </w:rPr>
        <w:t>：对绩效管理重视不足，单位自评工作不够完善。</w:t>
      </w:r>
      <w:r>
        <w:rPr>
          <w:rFonts w:hint="default" w:ascii="仿宋_GB2312" w:hAnsi="仿宋" w:eastAsia="仿宋_GB2312" w:cs="仿宋_GB2312"/>
          <w:kern w:val="0"/>
          <w:sz w:val="32"/>
          <w:szCs w:val="32"/>
        </w:rPr>
        <w:t>下一步改进措施：</w:t>
      </w:r>
      <w:r>
        <w:rPr>
          <w:rFonts w:hint="eastAsia" w:ascii="仿宋_GB2312" w:hAnsi="仿宋" w:eastAsia="仿宋_GB2312" w:cs="仿宋_GB2312"/>
          <w:kern w:val="0"/>
          <w:sz w:val="32"/>
          <w:szCs w:val="32"/>
          <w:lang w:eastAsia="zh-CN"/>
        </w:rPr>
        <w:t>组织相关人员深入学习绩效管理文件，及时把握政策要求，明确项目实施导向，从而提高绩效管理的约束力。</w:t>
      </w:r>
    </w:p>
    <w:p>
      <w:pPr>
        <w:widowControl/>
        <w:spacing w:before="240" w:after="240"/>
        <w:rPr>
          <w:rFonts w:hint="default" w:ascii="仿宋_GB2312" w:hAnsi="仿宋" w:eastAsia="仿宋_GB2312" w:cs="宋体"/>
          <w:kern w:val="0"/>
          <w:sz w:val="32"/>
          <w:szCs w:val="32"/>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hint="default" w:ascii="仿宋_GB2312" w:hAnsi="仿宋" w:eastAsia="仿宋_GB2312" w:cs="仿宋_GB2312"/>
          <w:kern w:val="0"/>
          <w:sz w:val="32"/>
          <w:szCs w:val="32"/>
        </w:rPr>
        <w:t>2.业务装备费项目自评综述：根据年初设定的绩效目标，项目自评得分</w:t>
      </w:r>
      <w:r>
        <w:rPr>
          <w:rFonts w:hint="default" w:ascii="仿宋_GB2312" w:hAnsi="仿宋" w:eastAsia="仿宋_GB2312" w:cs="宋体"/>
          <w:kern w:val="0"/>
          <w:sz w:val="32"/>
          <w:szCs w:val="32"/>
        </w:rPr>
        <w:t>98.</w:t>
      </w:r>
      <w:r>
        <w:rPr>
          <w:rFonts w:hint="eastAsia" w:ascii="仿宋_GB2312" w:hAnsi="仿宋" w:eastAsia="仿宋_GB2312" w:cs="宋体"/>
          <w:kern w:val="0"/>
          <w:sz w:val="32"/>
          <w:szCs w:val="32"/>
          <w:lang w:val="en-US" w:eastAsia="zh-CN"/>
        </w:rPr>
        <w:t>17</w:t>
      </w:r>
      <w:r>
        <w:rPr>
          <w:rFonts w:hint="default" w:ascii="仿宋_GB2312" w:hAnsi="仿宋" w:eastAsia="仿宋_GB2312" w:cs="宋体"/>
          <w:kern w:val="0"/>
          <w:sz w:val="32"/>
          <w:szCs w:val="32"/>
        </w:rPr>
        <w:t>分。全年预算数为</w:t>
      </w:r>
      <w:r>
        <w:rPr>
          <w:rFonts w:hint="eastAsia" w:ascii="仿宋_GB2312" w:hAnsi="仿宋" w:eastAsia="仿宋_GB2312" w:cs="宋体"/>
          <w:kern w:val="0"/>
          <w:sz w:val="32"/>
          <w:szCs w:val="32"/>
          <w:lang w:val="en-US" w:eastAsia="zh-CN"/>
        </w:rPr>
        <w:t>105.65</w:t>
      </w:r>
      <w:r>
        <w:rPr>
          <w:rFonts w:hint="default" w:ascii="仿宋_GB2312" w:hAnsi="仿宋" w:eastAsia="仿宋_GB2312" w:cs="宋体"/>
          <w:kern w:val="0"/>
          <w:sz w:val="32"/>
          <w:szCs w:val="32"/>
        </w:rPr>
        <w:t>万元，执行数为</w:t>
      </w:r>
      <w:r>
        <w:rPr>
          <w:rFonts w:hint="eastAsia" w:ascii="仿宋_GB2312" w:hAnsi="仿宋" w:eastAsia="仿宋_GB2312" w:cs="宋体"/>
          <w:kern w:val="0"/>
          <w:sz w:val="32"/>
          <w:szCs w:val="32"/>
          <w:lang w:val="en-US" w:eastAsia="zh-CN"/>
        </w:rPr>
        <w:t>105.65</w:t>
      </w:r>
      <w:r>
        <w:rPr>
          <w:rFonts w:hint="default" w:ascii="仿宋_GB2312" w:hAnsi="仿宋" w:eastAsia="仿宋_GB2312" w:cs="宋体"/>
          <w:kern w:val="0"/>
          <w:sz w:val="32"/>
          <w:szCs w:val="32"/>
        </w:rPr>
        <w:t>万元，完成预算的100%。项目绩效目标完成情况：</w:t>
      </w:r>
      <w:r>
        <w:rPr>
          <w:rFonts w:hint="default" w:ascii="仿宋_GB2312" w:hAnsi="仿宋" w:eastAsia="仿宋_GB2312" w:cs="仿宋_GB2312"/>
          <w:kern w:val="0"/>
          <w:sz w:val="32"/>
          <w:szCs w:val="32"/>
        </w:rPr>
        <w:t>本年度经费支出</w:t>
      </w:r>
      <w:r>
        <w:rPr>
          <w:rFonts w:hint="eastAsia" w:ascii="仿宋_GB2312" w:hAnsi="仿宋" w:eastAsia="仿宋_GB2312" w:cs="仿宋_GB2312"/>
          <w:kern w:val="0"/>
          <w:sz w:val="32"/>
          <w:szCs w:val="32"/>
          <w:lang w:val="en-US" w:eastAsia="zh-CN"/>
        </w:rPr>
        <w:t>105.65</w:t>
      </w:r>
      <w:r>
        <w:rPr>
          <w:rFonts w:hint="default" w:ascii="仿宋_GB2312" w:hAnsi="仿宋" w:eastAsia="仿宋_GB2312" w:cs="宋体"/>
          <w:kern w:val="0"/>
          <w:sz w:val="32"/>
          <w:szCs w:val="32"/>
        </w:rPr>
        <w:t>万元，其中办公设备购置</w:t>
      </w:r>
      <w:r>
        <w:rPr>
          <w:rFonts w:hint="eastAsia" w:ascii="仿宋_GB2312" w:hAnsi="仿宋" w:eastAsia="仿宋_GB2312" w:cs="宋体"/>
          <w:kern w:val="0"/>
          <w:sz w:val="32"/>
          <w:szCs w:val="32"/>
          <w:lang w:val="en-US" w:eastAsia="zh-CN"/>
        </w:rPr>
        <w:t>105.65</w:t>
      </w:r>
      <w:r>
        <w:rPr>
          <w:rFonts w:hint="default" w:ascii="仿宋_GB2312" w:hAnsi="仿宋" w:eastAsia="仿宋_GB2312" w:cs="宋体"/>
          <w:kern w:val="0"/>
          <w:sz w:val="32"/>
          <w:szCs w:val="32"/>
        </w:rPr>
        <w:t>万元。</w:t>
      </w:r>
      <w:r>
        <w:rPr>
          <w:rFonts w:hint="default" w:ascii="仿宋_GB2312" w:hAnsi="仿宋" w:eastAsia="仿宋_GB2312" w:cs="仿宋_GB2312"/>
          <w:kern w:val="0"/>
          <w:sz w:val="32"/>
          <w:szCs w:val="32"/>
        </w:rPr>
        <w:t>业务装备费主要用于购置各类业务装备支出，并优先保障基本装备需要</w:t>
      </w:r>
      <w:r>
        <w:rPr>
          <w:rFonts w:hint="default" w:ascii="仿宋_GB2312" w:hAnsi="仿宋" w:eastAsia="仿宋_GB2312" w:cs="宋体"/>
          <w:kern w:val="0"/>
          <w:sz w:val="32"/>
          <w:szCs w:val="32"/>
        </w:rPr>
        <w:t xml:space="preserve">, </w:t>
      </w:r>
      <w:r>
        <w:rPr>
          <w:rFonts w:hint="eastAsia" w:ascii="仿宋_GB2312" w:hAnsi="仿宋" w:eastAsia="仿宋_GB2312" w:cs="宋体"/>
          <w:kern w:val="0"/>
          <w:sz w:val="32"/>
          <w:szCs w:val="32"/>
          <w:lang w:eastAsia="zh-CN"/>
        </w:rPr>
        <w:t>为现代检务、数字信息检务提供保障</w:t>
      </w:r>
      <w:r>
        <w:rPr>
          <w:rFonts w:hint="default" w:ascii="仿宋_GB2312" w:hAnsi="仿宋" w:eastAsia="仿宋_GB2312" w:cs="宋体"/>
          <w:kern w:val="0"/>
          <w:sz w:val="32"/>
          <w:szCs w:val="32"/>
        </w:rPr>
        <w:t>。</w:t>
      </w:r>
      <w:r>
        <w:rPr>
          <w:rFonts w:hint="default" w:ascii="仿宋_GB2312" w:hAnsi="仿宋" w:eastAsia="仿宋_GB2312" w:cs="仿宋_GB2312"/>
          <w:kern w:val="0"/>
          <w:sz w:val="32"/>
          <w:szCs w:val="32"/>
        </w:rPr>
        <w:t>发现的主要问题及原因：</w:t>
      </w:r>
      <w:r>
        <w:rPr>
          <w:rFonts w:hint="default" w:ascii="仿宋_GB2312" w:hAnsi="仿宋" w:eastAsia="仿宋_GB2312" w:cs="宋体"/>
          <w:kern w:val="0"/>
          <w:sz w:val="32"/>
          <w:szCs w:val="32"/>
        </w:rPr>
        <w:t>绩效目标管理有待</w:t>
      </w:r>
      <w:r>
        <w:rPr>
          <w:rFonts w:hint="eastAsia" w:ascii="仿宋_GB2312" w:hAnsi="仿宋" w:eastAsia="仿宋_GB2312" w:cs="宋体"/>
          <w:kern w:val="0"/>
          <w:sz w:val="32"/>
          <w:szCs w:val="32"/>
          <w:lang w:eastAsia="zh-CN"/>
        </w:rPr>
        <w:t>完善</w:t>
      </w:r>
      <w:r>
        <w:rPr>
          <w:rFonts w:hint="default" w:ascii="仿宋_GB2312" w:hAnsi="仿宋" w:eastAsia="仿宋_GB2312" w:cs="宋体"/>
          <w:kern w:val="0"/>
          <w:sz w:val="32"/>
          <w:szCs w:val="32"/>
        </w:rPr>
        <w:t>，绩效目标内容不</w:t>
      </w:r>
      <w:r>
        <w:rPr>
          <w:rFonts w:hint="eastAsia" w:ascii="仿宋_GB2312" w:hAnsi="仿宋" w:eastAsia="仿宋_GB2312" w:cs="宋体"/>
          <w:kern w:val="0"/>
          <w:sz w:val="32"/>
          <w:szCs w:val="32"/>
          <w:lang w:eastAsia="zh-CN"/>
        </w:rPr>
        <w:t>够合理</w:t>
      </w:r>
      <w:r>
        <w:rPr>
          <w:rFonts w:hint="default" w:ascii="仿宋_GB2312" w:hAnsi="仿宋" w:eastAsia="仿宋_GB2312" w:cs="宋体"/>
          <w:kern w:val="0"/>
          <w:sz w:val="32"/>
          <w:szCs w:val="32"/>
        </w:rPr>
        <w:t>。下一步改进措施：</w:t>
      </w:r>
      <w:r>
        <w:rPr>
          <w:rFonts w:hint="eastAsia" w:ascii="仿宋_GB2312" w:hAnsi="仿宋" w:eastAsia="仿宋_GB2312" w:cs="宋体"/>
          <w:kern w:val="0"/>
          <w:sz w:val="32"/>
          <w:szCs w:val="32"/>
          <w:lang w:eastAsia="zh-CN"/>
        </w:rPr>
        <w:t>在制定绩效目标时与业务部门加强沟通，认真分析，进一步提高绩效目标的可行性和挑战性，从而最大限度挥绩效目标的的作用。</w:t>
      </w:r>
    </w:p>
    <w:tbl>
      <w:tblPr>
        <w:tblStyle w:val="20"/>
        <w:tblpPr w:leftFromText="180" w:rightFromText="180" w:vertAnchor="text" w:horzAnchor="page" w:tblpXSpec="center" w:tblpY="99"/>
        <w:tblOverlap w:val="never"/>
        <w:tblW w:w="5000" w:type="pct"/>
        <w:jc w:val="center"/>
        <w:shd w:val="clear" w:color="auto" w:fill="auto"/>
        <w:tblLayout w:type="autofit"/>
        <w:tblCellMar>
          <w:top w:w="0" w:type="dxa"/>
          <w:left w:w="0" w:type="dxa"/>
          <w:bottom w:w="0" w:type="dxa"/>
          <w:right w:w="0" w:type="dxa"/>
        </w:tblCellMar>
      </w:tblPr>
      <w:tblGrid>
        <w:gridCol w:w="847"/>
        <w:gridCol w:w="853"/>
        <w:gridCol w:w="848"/>
        <w:gridCol w:w="786"/>
        <w:gridCol w:w="786"/>
        <w:gridCol w:w="799"/>
        <w:gridCol w:w="793"/>
        <w:gridCol w:w="782"/>
        <w:gridCol w:w="815"/>
        <w:gridCol w:w="786"/>
        <w:gridCol w:w="821"/>
        <w:gridCol w:w="854"/>
      </w:tblGrid>
      <w:tr>
        <w:tblPrEx>
          <w:shd w:val="clear" w:color="auto" w:fill="auto"/>
          <w:tblCellMar>
            <w:top w:w="0" w:type="dxa"/>
            <w:left w:w="0" w:type="dxa"/>
            <w:bottom w:w="0" w:type="dxa"/>
            <w:right w:w="0" w:type="dxa"/>
          </w:tblCellMar>
        </w:tblPrEx>
        <w:trPr>
          <w:trHeight w:val="1226"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项目支出绩效自评表</w:t>
            </w:r>
            <w:r>
              <w:rPr>
                <w:rFonts w:hint="eastAsia" w:ascii="宋体" w:hAnsi="宋体" w:eastAsia="宋体" w:cs="宋体"/>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(2024年度）</w:t>
            </w:r>
          </w:p>
        </w:tc>
      </w:tr>
      <w:tr>
        <w:tblPrEx>
          <w:tblCellMar>
            <w:top w:w="0" w:type="dxa"/>
            <w:left w:w="0" w:type="dxa"/>
            <w:bottom w:w="0" w:type="dxa"/>
            <w:right w:w="0" w:type="dxa"/>
          </w:tblCellMar>
        </w:tblPrEx>
        <w:trPr>
          <w:trHeight w:val="390" w:hRule="atLeast"/>
          <w:jc w:val="center"/>
        </w:trPr>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12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办案（业务）经费</w:t>
            </w:r>
          </w:p>
        </w:tc>
      </w:tr>
      <w:tr>
        <w:tblPrEx>
          <w:tblCellMar>
            <w:top w:w="0" w:type="dxa"/>
            <w:left w:w="0" w:type="dxa"/>
            <w:bottom w:w="0" w:type="dxa"/>
            <w:right w:w="0" w:type="dxa"/>
          </w:tblCellMar>
        </w:tblPrEx>
        <w:trPr>
          <w:trHeight w:val="390" w:hRule="atLeast"/>
          <w:jc w:val="center"/>
        </w:trPr>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164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乌拉特前旗人民检察院部门</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67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乌拉特前旗人民检察院</w:t>
            </w:r>
          </w:p>
        </w:tc>
      </w:tr>
      <w:tr>
        <w:tblPrEx>
          <w:tblCellMar>
            <w:top w:w="0" w:type="dxa"/>
            <w:left w:w="0" w:type="dxa"/>
            <w:bottom w:w="0" w:type="dxa"/>
            <w:right w:w="0" w:type="dxa"/>
          </w:tblCellMar>
        </w:tblPrEx>
        <w:trPr>
          <w:trHeight w:val="625" w:hRule="atLeast"/>
          <w:jc w:val="center"/>
        </w:trPr>
        <w:tc>
          <w:tcPr>
            <w:tcW w:w="8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4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CellMar>
            <w:top w:w="0" w:type="dxa"/>
            <w:left w:w="0" w:type="dxa"/>
            <w:bottom w:w="0" w:type="dxa"/>
            <w:right w:w="0" w:type="dxa"/>
          </w:tblCellMar>
        </w:tblPrEx>
        <w:trPr>
          <w:trHeight w:val="625" w:hRule="atLeast"/>
          <w:jc w:val="center"/>
        </w:trPr>
        <w:tc>
          <w:tcPr>
            <w:tcW w:w="8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357.78</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357.78</w:t>
            </w: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625" w:hRule="atLeast"/>
          <w:jc w:val="center"/>
        </w:trPr>
        <w:tc>
          <w:tcPr>
            <w:tcW w:w="8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357.78</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357.78</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CellMar>
            <w:top w:w="0" w:type="dxa"/>
            <w:left w:w="0" w:type="dxa"/>
            <w:bottom w:w="0" w:type="dxa"/>
            <w:right w:w="0" w:type="dxa"/>
          </w:tblCellMar>
        </w:tblPrEx>
        <w:trPr>
          <w:trHeight w:val="625" w:hRule="atLeast"/>
          <w:jc w:val="center"/>
        </w:trPr>
        <w:tc>
          <w:tcPr>
            <w:tcW w:w="8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CellMar>
            <w:top w:w="0" w:type="dxa"/>
            <w:left w:w="0" w:type="dxa"/>
            <w:bottom w:w="0" w:type="dxa"/>
            <w:right w:w="0" w:type="dxa"/>
          </w:tblCellMar>
        </w:tblPrEx>
        <w:trPr>
          <w:trHeight w:val="390" w:hRule="atLeast"/>
          <w:jc w:val="center"/>
        </w:trPr>
        <w:tc>
          <w:tcPr>
            <w:tcW w:w="8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CellMar>
            <w:top w:w="0" w:type="dxa"/>
            <w:left w:w="0" w:type="dxa"/>
            <w:bottom w:w="0" w:type="dxa"/>
            <w:right w:w="0" w:type="dxa"/>
          </w:tblCellMar>
        </w:tblPrEx>
        <w:trPr>
          <w:trHeight w:val="390" w:hRule="atLeast"/>
          <w:jc w:val="center"/>
        </w:trPr>
        <w:tc>
          <w:tcPr>
            <w:tcW w:w="8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205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207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CellMar>
            <w:top w:w="0" w:type="dxa"/>
            <w:left w:w="0" w:type="dxa"/>
            <w:bottom w:w="0" w:type="dxa"/>
            <w:right w:w="0" w:type="dxa"/>
          </w:tblCellMar>
        </w:tblPrEx>
        <w:trPr>
          <w:trHeight w:val="1826" w:hRule="atLeast"/>
          <w:jc w:val="center"/>
        </w:trPr>
        <w:tc>
          <w:tcPr>
            <w:tcW w:w="8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1、保障业务工作所需耗材，强化基础设施建设，保障检察专网、互联网正常运转，进行对外宣传和检察文化建设。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2、强化司法办案，切实加强检察法律监督工作。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3、强化队伍建设，打造检察强军。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4、强化规范化建设，提升司法公信力。</w:t>
            </w:r>
          </w:p>
        </w:tc>
        <w:tc>
          <w:tcPr>
            <w:tcW w:w="207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全年预算书357.78万元，全年执行367.78万元，主要用于采购工作所需耗材，强化基础设施建设，保障检察专网，通过项目的实施保障我单位办案质量，提高办案效率。</w:t>
            </w:r>
          </w:p>
        </w:tc>
      </w:tr>
      <w:tr>
        <w:tblPrEx>
          <w:tblCellMar>
            <w:top w:w="0" w:type="dxa"/>
            <w:left w:w="0" w:type="dxa"/>
            <w:bottom w:w="0" w:type="dxa"/>
            <w:right w:w="0" w:type="dxa"/>
          </w:tblCellMar>
        </w:tblPrEx>
        <w:trPr>
          <w:trHeight w:val="92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4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CellMar>
            <w:top w:w="0" w:type="dxa"/>
            <w:left w:w="0" w:type="dxa"/>
            <w:bottom w:w="0" w:type="dxa"/>
            <w:right w:w="0" w:type="dxa"/>
          </w:tblCellMar>
        </w:tblPrEx>
        <w:trPr>
          <w:trHeight w:val="1226" w:hRule="atLeast"/>
          <w:jc w:val="center"/>
        </w:trPr>
        <w:tc>
          <w:tcPr>
            <w:tcW w:w="43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43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受理案件的数量</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931.00</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查询系统涉密，无法提供详细佐证材料</w:t>
            </w:r>
          </w:p>
        </w:tc>
      </w:tr>
      <w:tr>
        <w:tblPrEx>
          <w:tblCellMar>
            <w:top w:w="0" w:type="dxa"/>
            <w:left w:w="0" w:type="dxa"/>
            <w:bottom w:w="0" w:type="dxa"/>
            <w:right w:w="0" w:type="dxa"/>
          </w:tblCellMar>
        </w:tblPrEx>
        <w:trPr>
          <w:trHeight w:val="1226"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公益诉讼受理线索数</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112.00</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查询系统涉密，无法提供详细佐证材料</w:t>
            </w:r>
          </w:p>
        </w:tc>
      </w:tr>
      <w:tr>
        <w:tblPrEx>
          <w:tblCellMar>
            <w:top w:w="0" w:type="dxa"/>
            <w:left w:w="0" w:type="dxa"/>
            <w:bottom w:w="0" w:type="dxa"/>
            <w:right w:w="0" w:type="dxa"/>
          </w:tblCellMar>
        </w:tblPrEx>
        <w:trPr>
          <w:trHeight w:val="925"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相关业务培训人员数量</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33"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相关业务培训天数</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125.00</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26"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年度结案率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97.74</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查询系统涉密，无法提供详细佐证材料</w:t>
            </w:r>
          </w:p>
        </w:tc>
      </w:tr>
      <w:tr>
        <w:tblPrEx>
          <w:tblCellMar>
            <w:top w:w="0" w:type="dxa"/>
            <w:left w:w="0" w:type="dxa"/>
            <w:bottom w:w="0" w:type="dxa"/>
            <w:right w:w="0" w:type="dxa"/>
          </w:tblCellMar>
        </w:tblPrEx>
        <w:trPr>
          <w:trHeight w:val="1226"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公益诉讼受理线索完成率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224.00</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查询系统涉密，无法提供详细佐证材料</w:t>
            </w:r>
          </w:p>
        </w:tc>
      </w:tr>
      <w:tr>
        <w:tblPrEx>
          <w:tblCellMar>
            <w:top w:w="0" w:type="dxa"/>
            <w:left w:w="0" w:type="dxa"/>
            <w:bottom w:w="0" w:type="dxa"/>
            <w:right w:w="0" w:type="dxa"/>
          </w:tblCellMar>
        </w:tblPrEx>
        <w:trPr>
          <w:trHeight w:val="1226"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受理案件及时率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查询系统涉密，无法提供详细佐证材料</w:t>
            </w:r>
          </w:p>
        </w:tc>
      </w:tr>
      <w:tr>
        <w:tblPrEx>
          <w:tblCellMar>
            <w:top w:w="0" w:type="dxa"/>
            <w:left w:w="0" w:type="dxa"/>
            <w:bottom w:w="0" w:type="dxa"/>
            <w:right w:w="0" w:type="dxa"/>
          </w:tblCellMar>
        </w:tblPrEx>
        <w:trPr>
          <w:trHeight w:val="1226"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受理公益诉讼受理线索及时率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查询系统涉密，无法提供详细佐证材料</w:t>
            </w:r>
          </w:p>
        </w:tc>
      </w:tr>
      <w:tr>
        <w:tblPrEx>
          <w:tblCellMar>
            <w:top w:w="0" w:type="dxa"/>
            <w:left w:w="0" w:type="dxa"/>
            <w:bottom w:w="0" w:type="dxa"/>
            <w:right w:w="0" w:type="dxa"/>
          </w:tblCellMar>
        </w:tblPrEx>
        <w:trPr>
          <w:trHeight w:val="925"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办案业务费支出金额</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357.78</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5"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相关业务培训人员成本</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550.00</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元/人/天</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5"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差旅费伙食补助标准</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元/人/天</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33"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434"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保障办案质量</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33"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提高办案效率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5"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保护维护法治的可持续性</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5" w:hRule="atLeast"/>
          <w:jc w:val="center"/>
        </w:trPr>
        <w:tc>
          <w:tcPr>
            <w:tcW w:w="434"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43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干警满意度</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0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w:t>
            </w:r>
          </w:p>
        </w:tc>
        <w:tc>
          <w:tcPr>
            <w:tcW w:w="4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3" w:hRule="atLeast"/>
          <w:jc w:val="center"/>
        </w:trPr>
        <w:tc>
          <w:tcPr>
            <w:tcW w:w="3738"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97.10</w:t>
            </w:r>
          </w:p>
        </w:tc>
        <w:tc>
          <w:tcPr>
            <w:tcW w:w="4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tbl>
      <w:tblPr>
        <w:tblStyle w:val="20"/>
        <w:tblpPr w:leftFromText="180" w:rightFromText="180" w:vertAnchor="text" w:horzAnchor="page" w:tblpX="1181" w:tblpY="436"/>
        <w:tblOverlap w:val="never"/>
        <w:tblW w:w="5000" w:type="pct"/>
        <w:tblInd w:w="0" w:type="dxa"/>
        <w:shd w:val="clear" w:color="auto" w:fill="auto"/>
        <w:tblLayout w:type="autofit"/>
        <w:tblCellMar>
          <w:top w:w="0" w:type="dxa"/>
          <w:left w:w="0" w:type="dxa"/>
          <w:bottom w:w="0" w:type="dxa"/>
          <w:right w:w="0" w:type="dxa"/>
        </w:tblCellMar>
      </w:tblPr>
      <w:tblGrid>
        <w:gridCol w:w="830"/>
        <w:gridCol w:w="830"/>
        <w:gridCol w:w="830"/>
        <w:gridCol w:w="766"/>
        <w:gridCol w:w="766"/>
        <w:gridCol w:w="768"/>
        <w:gridCol w:w="768"/>
        <w:gridCol w:w="764"/>
        <w:gridCol w:w="776"/>
        <w:gridCol w:w="854"/>
        <w:gridCol w:w="887"/>
        <w:gridCol w:w="931"/>
      </w:tblGrid>
      <w:tr>
        <w:tblPrEx>
          <w:shd w:val="clear" w:color="auto" w:fill="auto"/>
          <w:tblCellMar>
            <w:top w:w="0" w:type="dxa"/>
            <w:left w:w="0" w:type="dxa"/>
            <w:bottom w:w="0" w:type="dxa"/>
            <w:right w:w="0"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项目支出绩效自评表</w:t>
            </w:r>
            <w:r>
              <w:rPr>
                <w:rFonts w:hint="eastAsia" w:ascii="宋体" w:hAnsi="宋体" w:eastAsia="宋体" w:cs="宋体"/>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(2024年度）</w:t>
            </w:r>
          </w:p>
        </w:tc>
      </w:tr>
      <w:tr>
        <w:tblPrEx>
          <w:tblCellMar>
            <w:top w:w="0" w:type="dxa"/>
            <w:left w:w="0" w:type="dxa"/>
            <w:bottom w:w="0" w:type="dxa"/>
            <w:right w:w="0" w:type="dxa"/>
          </w:tblCellMar>
        </w:tblPrEx>
        <w:trPr>
          <w:trHeight w:val="380" w:hRule="atLeast"/>
        </w:trPr>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149"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业务装备经费</w:t>
            </w:r>
          </w:p>
        </w:tc>
      </w:tr>
      <w:tr>
        <w:tblPrEx>
          <w:tblCellMar>
            <w:top w:w="0" w:type="dxa"/>
            <w:left w:w="0" w:type="dxa"/>
            <w:bottom w:w="0" w:type="dxa"/>
            <w:right w:w="0" w:type="dxa"/>
          </w:tblCellMar>
        </w:tblPrEx>
        <w:trPr>
          <w:trHeight w:val="380" w:hRule="atLeast"/>
        </w:trPr>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16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乌拉特前旗人民检察院部门</w:t>
            </w:r>
          </w:p>
        </w:tc>
        <w:tc>
          <w:tcPr>
            <w:tcW w:w="7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76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乌拉特前旗人民检察院</w:t>
            </w:r>
          </w:p>
        </w:tc>
      </w:tr>
      <w:tr>
        <w:tblPrEx>
          <w:tblCellMar>
            <w:top w:w="0" w:type="dxa"/>
            <w:left w:w="0" w:type="dxa"/>
            <w:bottom w:w="0" w:type="dxa"/>
            <w:right w:w="0" w:type="dxa"/>
          </w:tblCellMar>
        </w:tblPrEx>
        <w:trPr>
          <w:trHeight w:val="380" w:hRule="atLeast"/>
        </w:trPr>
        <w:tc>
          <w:tcPr>
            <w:tcW w:w="85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7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CellMar>
            <w:top w:w="0" w:type="dxa"/>
            <w:left w:w="0" w:type="dxa"/>
            <w:bottom w:w="0" w:type="dxa"/>
            <w:right w:w="0" w:type="dxa"/>
          </w:tblCellMar>
        </w:tblPrEx>
        <w:trPr>
          <w:trHeight w:val="380" w:hRule="atLeast"/>
        </w:trPr>
        <w:tc>
          <w:tcPr>
            <w:tcW w:w="8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67.22</w:t>
            </w:r>
          </w:p>
        </w:tc>
        <w:tc>
          <w:tcPr>
            <w:tcW w:w="7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67.22</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380" w:hRule="atLeast"/>
        </w:trPr>
        <w:tc>
          <w:tcPr>
            <w:tcW w:w="8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67.22</w:t>
            </w:r>
          </w:p>
        </w:tc>
        <w:tc>
          <w:tcPr>
            <w:tcW w:w="7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67.22</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CellMar>
            <w:top w:w="0" w:type="dxa"/>
            <w:left w:w="0" w:type="dxa"/>
            <w:bottom w:w="0" w:type="dxa"/>
            <w:right w:w="0" w:type="dxa"/>
          </w:tblCellMar>
        </w:tblPrEx>
        <w:trPr>
          <w:trHeight w:val="380" w:hRule="atLeast"/>
        </w:trPr>
        <w:tc>
          <w:tcPr>
            <w:tcW w:w="8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CellMar>
            <w:top w:w="0" w:type="dxa"/>
            <w:left w:w="0" w:type="dxa"/>
            <w:bottom w:w="0" w:type="dxa"/>
            <w:right w:w="0" w:type="dxa"/>
          </w:tblCellMar>
        </w:tblPrEx>
        <w:trPr>
          <w:trHeight w:val="380" w:hRule="atLeast"/>
        </w:trPr>
        <w:tc>
          <w:tcPr>
            <w:tcW w:w="8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7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CellMar>
            <w:top w:w="0" w:type="dxa"/>
            <w:left w:w="0" w:type="dxa"/>
            <w:bottom w:w="0" w:type="dxa"/>
            <w:right w:w="0" w:type="dxa"/>
          </w:tblCellMar>
        </w:tblPrEx>
        <w:trPr>
          <w:trHeight w:val="380" w:hRule="atLeast"/>
        </w:trPr>
        <w:tc>
          <w:tcPr>
            <w:tcW w:w="85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19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2154"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CellMar>
            <w:top w:w="0" w:type="dxa"/>
            <w:left w:w="0" w:type="dxa"/>
            <w:bottom w:w="0" w:type="dxa"/>
            <w:right w:w="0" w:type="dxa"/>
          </w:tblCellMar>
        </w:tblPrEx>
        <w:trPr>
          <w:trHeight w:val="1120" w:hRule="atLeast"/>
        </w:trPr>
        <w:tc>
          <w:tcPr>
            <w:tcW w:w="8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1、不断改善检务装备建设，保障检察业务所需的专用设备、信息网络构建设备、办公设备等。2、强力推进业务装备信息化、精细化、安全性等建设体系，保障办案业务水平提升到一个新水平。</w:t>
            </w:r>
          </w:p>
        </w:tc>
        <w:tc>
          <w:tcPr>
            <w:tcW w:w="2154"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全年预算书67.22万元，全年执行67.22万元，主要用于改善检务装备建设，保障检察业务所需的专用设备、信息网络构建设备、办公设备等，通过项目的实施提升原有设备技术水平，保障办案业务水平提升到一个新水平。</w:t>
            </w:r>
          </w:p>
        </w:tc>
      </w:tr>
      <w:tr>
        <w:tblPrEx>
          <w:tblCellMar>
            <w:top w:w="0" w:type="dxa"/>
            <w:left w:w="0" w:type="dxa"/>
            <w:bottom w:w="0" w:type="dxa"/>
            <w:right w:w="0" w:type="dxa"/>
          </w:tblCellMar>
        </w:tblPrEx>
        <w:trPr>
          <w:trHeight w:val="3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CellMar>
            <w:top w:w="0" w:type="dxa"/>
            <w:left w:w="0" w:type="dxa"/>
            <w:bottom w:w="0" w:type="dxa"/>
            <w:right w:w="0" w:type="dxa"/>
          </w:tblCellMar>
        </w:tblPrEx>
        <w:trPr>
          <w:trHeight w:val="840" w:hRule="atLeast"/>
        </w:trPr>
        <w:tc>
          <w:tcPr>
            <w:tcW w:w="42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42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42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采购通用设备数量</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台/套</w:t>
            </w: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采购专用设备数量</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台/套</w:t>
            </w: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通用设备验收合格率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专业设备的验收合格率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设备验收及时率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设备维修及时率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办公设备采购成本</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反向</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小于等于</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w:t>
            </w: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专用设备采购成本</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反向</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小于等于</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19.20</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w:t>
            </w: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42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提升原有设备技术水平</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推动业务装备标准化规范化</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长期推进</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长期推进</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42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42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干警使用满意度</w:t>
            </w:r>
          </w:p>
        </w:tc>
        <w:tc>
          <w:tcPr>
            <w:tcW w:w="39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39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9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363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97.80</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widowControl/>
        <w:numPr>
          <w:ilvl w:val="0"/>
          <w:numId w:val="2"/>
        </w:numPr>
        <w:spacing w:before="240" w:after="24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部门项目绩效评价结果。</w:t>
      </w:r>
    </w:p>
    <w:p>
      <w:pPr>
        <w:pStyle w:val="2"/>
        <w:numPr>
          <w:numId w:val="0"/>
        </w:numPr>
        <w:ind w:leftChars="200" w:right="0" w:rightChars="0"/>
        <w:rPr>
          <w:rFonts w:hint="default" w:ascii="仿宋_GB2312" w:hAnsi="Calibri" w:eastAsia="仿宋_GB2312" w:cs="仿宋_GB2312"/>
          <w:kern w:val="0"/>
          <w:sz w:val="32"/>
          <w:szCs w:val="32"/>
          <w:lang w:val="en-US" w:eastAsia="zh-CN" w:bidi="ar-SA"/>
        </w:rPr>
      </w:pPr>
      <w:r>
        <w:rPr>
          <w:rFonts w:hint="eastAsia" w:ascii="仿宋_GB2312" w:hAnsi="Calibri" w:eastAsia="仿宋_GB2312" w:cs="仿宋_GB2312"/>
          <w:kern w:val="0"/>
          <w:sz w:val="32"/>
          <w:szCs w:val="32"/>
          <w:lang w:val="en-US" w:eastAsia="zh-CN" w:bidi="ar-SA"/>
        </w:rPr>
        <w:t>本年度未进行部门项目绩效评价</w:t>
      </w: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仿宋_GB2312" w:hAnsi="仿宋_GB2312" w:eastAsia="仿宋_GB2312" w:cs="仿宋_GB2312"/>
          <w:kern w:val="0"/>
          <w:sz w:val="27"/>
          <w:szCs w:val="27"/>
        </w:rPr>
        <w:t xml:space="preserve">  </w:t>
      </w: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w:t>
      </w:r>
      <w:r>
        <w:rPr>
          <w:rFonts w:ascii="仿宋_GB2312" w:hAnsi="仿宋_GB2312" w:eastAsia="仿宋_GB2312" w:cs="仿宋_GB2312"/>
          <w:b/>
          <w:bCs/>
          <w:kern w:val="0"/>
          <w:sz w:val="32"/>
          <w:szCs w:val="32"/>
        </w:rPr>
        <w:t xml:space="preserve"> 一、财政拨款收入：</w:t>
      </w:r>
      <w:r>
        <w:rPr>
          <w:rFonts w:hint="default" w:ascii="仿宋_GB2312" w:hAnsi="Calibri" w:eastAsia="仿宋_GB2312" w:cs="仿宋_GB2312"/>
          <w:kern w:val="0"/>
          <w:sz w:val="32"/>
          <w:szCs w:val="32"/>
          <w:lang w:val="en-US" w:eastAsia="zh-CN" w:bidi="ar-SA"/>
        </w:rPr>
        <w:t>从同级财政部门取得的各类财政拨款，包括一般公共预算财政拨款、政府性基金预算财政拨款、国有资本经营预算财政拨款。</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  二、上级补助收入：</w:t>
      </w:r>
      <w:r>
        <w:rPr>
          <w:rFonts w:hint="default" w:ascii="仿宋_GB2312" w:hAnsi="Calibri" w:eastAsia="仿宋_GB2312" w:cs="仿宋_GB2312"/>
          <w:kern w:val="0"/>
          <w:sz w:val="32"/>
          <w:szCs w:val="32"/>
          <w:lang w:val="en-US" w:eastAsia="zh-CN" w:bidi="ar-SA"/>
        </w:rPr>
        <w:t>指事业单位从主管部门和上级单位取得的非财政补助收入。</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三、财政专户管理教育收费：</w:t>
      </w:r>
      <w:r>
        <w:rPr>
          <w:rFonts w:hint="default" w:ascii="仿宋_GB2312" w:hAnsi="Calibri" w:eastAsia="仿宋_GB2312" w:cs="仿宋_GB2312"/>
          <w:kern w:val="0"/>
          <w:sz w:val="32"/>
          <w:szCs w:val="32"/>
          <w:lang w:val="en-US" w:eastAsia="zh-CN" w:bidi="ar-SA"/>
        </w:rPr>
        <w:t>指缴入财政专户、实行专项管理的高中以上学费、住宿费、高校委托培养费、函大、电大、夜大及短训班培训费等教育收费。</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w:t>
      </w:r>
      <w:r>
        <w:rPr>
          <w:rFonts w:ascii="仿宋_GB2312" w:hAnsi="仿宋_GB2312" w:eastAsia="仿宋_GB2312" w:cs="仿宋_GB2312"/>
          <w:b/>
          <w:bCs/>
          <w:kern w:val="0"/>
          <w:sz w:val="32"/>
          <w:szCs w:val="32"/>
        </w:rPr>
        <w:t xml:space="preserve">   四、事业收入：</w:t>
      </w:r>
      <w:r>
        <w:rPr>
          <w:rFonts w:hint="default" w:ascii="仿宋_GB2312" w:hAnsi="Calibri" w:eastAsia="仿宋_GB2312" w:cs="仿宋_GB2312"/>
          <w:kern w:val="0"/>
          <w:sz w:val="32"/>
          <w:szCs w:val="32"/>
          <w:lang w:val="en-US" w:eastAsia="zh-CN" w:bidi="ar-SA"/>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五、经营收入：</w:t>
      </w:r>
      <w:r>
        <w:rPr>
          <w:rFonts w:hint="default" w:ascii="仿宋_GB2312" w:hAnsi="Calibri" w:eastAsia="仿宋_GB2312" w:cs="仿宋_GB2312"/>
          <w:kern w:val="0"/>
          <w:sz w:val="32"/>
          <w:szCs w:val="32"/>
          <w:lang w:val="en-US" w:eastAsia="zh-CN" w:bidi="ar-SA"/>
        </w:rPr>
        <w:t>指事业单位在专业业务活动及其辅助活动之外开展非独立核算经营活动取得的收入。</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六、附属单位上缴收入：</w:t>
      </w:r>
      <w:r>
        <w:rPr>
          <w:rFonts w:hint="default" w:ascii="仿宋_GB2312" w:hAnsi="Calibri" w:eastAsia="仿宋_GB2312" w:cs="仿宋_GB2312"/>
          <w:kern w:val="0"/>
          <w:sz w:val="32"/>
          <w:szCs w:val="32"/>
          <w:lang w:val="en-US" w:eastAsia="zh-CN" w:bidi="ar-SA"/>
        </w:rPr>
        <w:t>指事业单位取得附属独立核算单位按照有关规定上缴的收入。</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w:t>
      </w:r>
      <w:r>
        <w:rPr>
          <w:rFonts w:ascii="仿宋_GB2312" w:hAnsi="仿宋_GB2312" w:eastAsia="仿宋_GB2312" w:cs="仿宋_GB2312"/>
          <w:b/>
          <w:bCs/>
          <w:kern w:val="0"/>
          <w:sz w:val="32"/>
          <w:szCs w:val="32"/>
        </w:rPr>
        <w:t xml:space="preserve"> 七、其他收入：</w:t>
      </w:r>
      <w:r>
        <w:rPr>
          <w:rFonts w:hint="default" w:ascii="仿宋_GB2312" w:hAnsi="Calibri" w:eastAsia="仿宋_GB2312" w:cs="仿宋_GB2312"/>
          <w:kern w:val="0"/>
          <w:sz w:val="32"/>
          <w:szCs w:val="32"/>
          <w:lang w:val="en-US" w:eastAsia="zh-CN" w:bidi="ar-SA"/>
        </w:rPr>
        <w:t>取得的除上述财政拨款收入、上级补助收入、事业收入、经营收入、附属单位上缴收入等以外的各项收入。</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八、使用非财政拨款结余（含专用结余）：</w:t>
      </w:r>
      <w:r>
        <w:rPr>
          <w:rFonts w:hint="default" w:ascii="仿宋_GB2312" w:hAnsi="Calibri" w:eastAsia="仿宋_GB2312" w:cs="仿宋_GB2312"/>
          <w:kern w:val="0"/>
          <w:sz w:val="32"/>
          <w:szCs w:val="32"/>
          <w:lang w:val="en-US" w:eastAsia="zh-CN" w:bidi="ar-SA"/>
        </w:rPr>
        <w:t>指事业单位按照预算管理要求使用非财政拨款结余弥补收支差额的金额，以及使用专用结余安排支出的金额。</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九、年初结转和结余：</w:t>
      </w:r>
      <w:r>
        <w:rPr>
          <w:rFonts w:hint="default" w:ascii="仿宋_GB2312" w:hAnsi="Calibri" w:eastAsia="仿宋_GB2312" w:cs="仿宋_GB2312"/>
          <w:kern w:val="0"/>
          <w:sz w:val="32"/>
          <w:szCs w:val="32"/>
          <w:lang w:val="en-US" w:eastAsia="zh-CN" w:bidi="ar-SA"/>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32"/>
          <w:szCs w:val="32"/>
        </w:rPr>
        <w:t>    十、结余分配：</w:t>
      </w:r>
      <w:r>
        <w:rPr>
          <w:rFonts w:hint="default" w:ascii="仿宋_GB2312" w:hAnsi="Calibri" w:eastAsia="仿宋_GB2312" w:cs="仿宋_GB2312"/>
          <w:kern w:val="0"/>
          <w:sz w:val="32"/>
          <w:szCs w:val="32"/>
          <w:lang w:val="en-US" w:eastAsia="zh-CN" w:bidi="ar-SA"/>
        </w:rPr>
        <w:t>指单位按规定缴纳企业所得税以及从非财政拨款结余或经营结余中提取各类结余的情况。</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十一、年末结转和结余资金：</w:t>
      </w:r>
      <w:r>
        <w:rPr>
          <w:rFonts w:hint="default" w:ascii="仿宋_GB2312" w:hAnsi="Calibri" w:eastAsia="仿宋_GB2312" w:cs="仿宋_GB2312"/>
          <w:kern w:val="0"/>
          <w:sz w:val="32"/>
          <w:szCs w:val="32"/>
          <w:lang w:val="en-US" w:eastAsia="zh-CN" w:bidi="ar-SA"/>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十二、基本支出：</w:t>
      </w:r>
      <w:r>
        <w:rPr>
          <w:rFonts w:hint="default" w:ascii="仿宋_GB2312" w:hAnsi="Calibri" w:eastAsia="仿宋_GB2312" w:cs="仿宋_GB2312"/>
          <w:kern w:val="0"/>
          <w:sz w:val="32"/>
          <w:szCs w:val="32"/>
          <w:lang w:val="en-US" w:eastAsia="zh-CN" w:bidi="ar-SA"/>
        </w:rPr>
        <w:t>指为保障机构正常运转、完成日常工作任务所发生的支出，包括人员经费和公用经费。</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十三、项目支出：</w:t>
      </w:r>
      <w:r>
        <w:rPr>
          <w:rFonts w:hint="default" w:ascii="仿宋_GB2312" w:hAnsi="Calibri" w:eastAsia="仿宋_GB2312" w:cs="仿宋_GB2312"/>
          <w:kern w:val="0"/>
          <w:sz w:val="32"/>
          <w:szCs w:val="32"/>
          <w:lang w:val="en-US" w:eastAsia="zh-CN" w:bidi="ar-SA"/>
        </w:rPr>
        <w:t>指在为完成特定的行政工作任务或事业发展目标所发生的支出。</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十四、上缴上级支出：</w:t>
      </w:r>
      <w:r>
        <w:rPr>
          <w:rFonts w:hint="default" w:ascii="仿宋_GB2312" w:hAnsi="Calibri" w:eastAsia="仿宋_GB2312" w:cs="仿宋_GB2312"/>
          <w:kern w:val="0"/>
          <w:sz w:val="32"/>
          <w:szCs w:val="32"/>
          <w:lang w:val="en-US" w:eastAsia="zh-CN" w:bidi="ar-SA"/>
        </w:rPr>
        <w:t>指事业单位按照财政部门和主管部门的规定上缴上级单位的支出。</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十五、经营支出：</w:t>
      </w:r>
      <w:r>
        <w:rPr>
          <w:rFonts w:hint="default" w:ascii="仿宋_GB2312" w:hAnsi="Calibri" w:eastAsia="仿宋_GB2312" w:cs="仿宋_GB2312"/>
          <w:kern w:val="0"/>
          <w:sz w:val="32"/>
          <w:szCs w:val="32"/>
          <w:lang w:val="en-US" w:eastAsia="zh-CN" w:bidi="ar-SA"/>
        </w:rPr>
        <w:t>指事业单位在专业业务活动及其辅助活动之外开展非独立核算经营活动发生的支出。</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  十六、对附属单位补助支出：</w:t>
      </w:r>
      <w:r>
        <w:rPr>
          <w:rFonts w:hint="default" w:ascii="仿宋_GB2312" w:hAnsi="Calibri" w:eastAsia="仿宋_GB2312" w:cs="仿宋_GB2312"/>
          <w:kern w:val="0"/>
          <w:sz w:val="32"/>
          <w:szCs w:val="32"/>
          <w:lang w:val="en-US" w:eastAsia="zh-CN" w:bidi="ar-SA"/>
        </w:rPr>
        <w:t>指事业单位用财政拨款收入之外的收入对附属单位补助发生的支出。</w:t>
      </w: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b/>
          <w:bCs/>
          <w:kern w:val="0"/>
          <w:sz w:val="27"/>
          <w:szCs w:val="27"/>
        </w:rPr>
        <w:t>   </w:t>
      </w:r>
      <w:r>
        <w:rPr>
          <w:rFonts w:ascii="仿宋_GB2312" w:hAnsi="仿宋_GB2312" w:eastAsia="仿宋_GB2312" w:cs="仿宋_GB2312"/>
          <w:b/>
          <w:bCs/>
          <w:kern w:val="0"/>
          <w:sz w:val="32"/>
          <w:szCs w:val="32"/>
        </w:rPr>
        <w:t xml:space="preserve"> 十七、“三公”经费：</w:t>
      </w:r>
      <w:r>
        <w:rPr>
          <w:rFonts w:hint="default" w:ascii="仿宋_GB2312" w:hAnsi="Calibri" w:eastAsia="仿宋_GB2312" w:cs="仿宋_GB2312"/>
          <w:kern w:val="0"/>
          <w:sz w:val="32"/>
          <w:szCs w:val="32"/>
          <w:lang w:val="en-US" w:eastAsia="zh-CN" w:bidi="ar-SA"/>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hint="eastAsia" w:ascii="Times New Roman" w:hAnsi="Times New Roman" w:eastAsia="宋体" w:cs="Times New Roman"/>
          <w:kern w:val="0"/>
          <w:sz w:val="24"/>
          <w:lang w:val="en-US" w:eastAsia="zh-CN"/>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十八、机关运行经费：</w:t>
      </w:r>
      <w:r>
        <w:rPr>
          <w:rFonts w:hint="default" w:ascii="仿宋_GB2312" w:hAnsi="Calibri" w:eastAsia="仿宋_GB2312" w:cs="仿宋_GB2312"/>
          <w:kern w:val="0"/>
          <w:sz w:val="32"/>
          <w:szCs w:val="32"/>
          <w:lang w:val="en-US" w:eastAsia="zh-CN" w:bidi="ar-SA"/>
        </w:rPr>
        <w:t>指行政单位和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及其他费用等。</w:t>
      </w:r>
      <w:bookmarkStart w:id="1" w:name="_GoBack"/>
      <w:bookmarkEnd w:id="1"/>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hint="default" w:ascii="仿宋_GB2312" w:hAnsi="Calibri" w:eastAsia="仿宋_GB2312" w:cs="仿宋_GB2312"/>
          <w:kern w:val="0"/>
          <w:sz w:val="32"/>
          <w:szCs w:val="32"/>
          <w:lang w:val="en-US" w:eastAsia="zh-CN" w:bidi="ar-SA"/>
        </w:rPr>
      </w:pPr>
      <w:r>
        <w:rPr>
          <w:rFonts w:ascii="仿宋_GB2312" w:hAnsi="仿宋_GB2312" w:eastAsia="仿宋_GB2312" w:cs="仿宋_GB2312"/>
          <w:kern w:val="0"/>
          <w:sz w:val="27"/>
          <w:szCs w:val="27"/>
        </w:rPr>
        <w:t>   </w:t>
      </w:r>
      <w:r>
        <w:rPr>
          <w:rFonts w:hint="default" w:ascii="仿宋_GB2312" w:hAnsi="Calibri" w:eastAsia="仿宋_GB2312" w:cs="仿宋_GB2312"/>
          <w:kern w:val="0"/>
          <w:sz w:val="32"/>
          <w:szCs w:val="32"/>
          <w:lang w:val="en-US" w:eastAsia="zh-CN" w:bidi="ar-SA"/>
        </w:rPr>
        <w:t xml:space="preserve"> 本部门（单位）决算公开信息反馈和联系方式：</w:t>
      </w:r>
    </w:p>
    <w:p>
      <w:pPr>
        <w:widowControl/>
        <w:spacing w:before="240" w:after="240"/>
        <w:jc w:val="left"/>
        <w:rPr>
          <w:rFonts w:hint="default" w:ascii="仿宋_GB2312" w:hAnsi="Calibri" w:eastAsia="仿宋_GB2312" w:cs="仿宋_GB2312"/>
          <w:kern w:val="0"/>
          <w:sz w:val="32"/>
          <w:szCs w:val="32"/>
          <w:lang w:val="en-US" w:eastAsia="zh-CN" w:bidi="ar-SA"/>
        </w:rPr>
      </w:pPr>
      <w:r>
        <w:rPr>
          <w:rFonts w:hint="default" w:ascii="仿宋_GB2312" w:hAnsi="Calibri" w:eastAsia="仿宋_GB2312" w:cs="仿宋_GB2312"/>
          <w:kern w:val="0"/>
          <w:sz w:val="32"/>
          <w:szCs w:val="32"/>
          <w:lang w:val="en-US" w:eastAsia="zh-CN" w:bidi="ar-SA"/>
        </w:rPr>
        <w:t>    联系人：李燕           联系电话：0478-3229035</w:t>
      </w:r>
    </w:p>
    <w:p>
      <w:pPr>
        <w:widowControl/>
        <w:spacing w:before="240" w:after="240"/>
        <w:jc w:val="left"/>
        <w:rPr>
          <w:rFonts w:ascii="Times New Roman" w:hAnsi="Times New Roman" w:eastAsia="Times New Roman" w:cs="Times New Roman"/>
          <w:kern w:val="0"/>
          <w:sz w:val="24"/>
        </w:rPr>
      </w:pPr>
    </w:p>
    <w:p>
      <w:pPr>
        <w:pStyle w:val="5"/>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25</w:t>
    </w:r>
    <w:r>
      <w:rPr>
        <w:lang w:val="zh-CN"/>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204DBA"/>
    <w:multiLevelType w:val="singleLevel"/>
    <w:tmpl w:val="BC204DBA"/>
    <w:lvl w:ilvl="0" w:tentative="0">
      <w:start w:val="3"/>
      <w:numFmt w:val="chineseCounting"/>
      <w:suff w:val="nothing"/>
      <w:lvlText w:val="（%1）"/>
      <w:lvlJc w:val="left"/>
      <w:rPr>
        <w:rFonts w:hint="eastAsia"/>
      </w:rPr>
    </w:lvl>
  </w:abstractNum>
  <w:abstractNum w:abstractNumId="1">
    <w:nsid w:val="C92F3790"/>
    <w:multiLevelType w:val="singleLevel"/>
    <w:tmpl w:val="C92F379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4BC1BC1"/>
    <w:rsid w:val="04F768D9"/>
    <w:rsid w:val="0EE02BA1"/>
    <w:rsid w:val="1B317543"/>
    <w:rsid w:val="293679CF"/>
    <w:rsid w:val="2BED257F"/>
    <w:rsid w:val="2C424529"/>
    <w:rsid w:val="2F245F36"/>
    <w:rsid w:val="36715E4D"/>
    <w:rsid w:val="44865F8A"/>
    <w:rsid w:val="468E7C06"/>
    <w:rsid w:val="4A4B7D1D"/>
    <w:rsid w:val="4A4D6FD4"/>
    <w:rsid w:val="4CB657DA"/>
    <w:rsid w:val="4EFC5524"/>
    <w:rsid w:val="51CD438B"/>
    <w:rsid w:val="569A1A3C"/>
    <w:rsid w:val="5F53238C"/>
    <w:rsid w:val="68E3405D"/>
    <w:rsid w:val="6F5A5387"/>
    <w:rsid w:val="74BD26E4"/>
    <w:rsid w:val="764E47DA"/>
    <w:rsid w:val="78202771"/>
    <w:rsid w:val="7A9D15AC"/>
    <w:rsid w:val="7E7B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beforeAutospacing="0" w:after="120" w:afterAutospacing="0"/>
      <w:ind w:left="420" w:leftChars="200" w:right="0" w:firstLine="420"/>
      <w:jc w:val="left"/>
    </w:pPr>
    <w:rPr>
      <w:rFonts w:hint="eastAsia" w:ascii="宋体" w:hAnsi="宋体" w:eastAsia="宋体" w:cs="宋体"/>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Char"/>
    <w:basedOn w:val="21"/>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Char"/>
    <w:link w:val="25"/>
    <w:qFormat/>
    <w:locked/>
    <w:uiPriority w:val="0"/>
    <w:rPr>
      <w:rFonts w:eastAsia="仿宋_GB2312"/>
      <w:sz w:val="30"/>
      <w:szCs w:val="22"/>
      <w:lang w:bidi="ar-SA"/>
    </w:rPr>
  </w:style>
  <w:style w:type="character" w:customStyle="1" w:styleId="27">
    <w:name w:val="页脚 Char"/>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Char"/>
    <w:basedOn w:val="21"/>
    <w:link w:val="6"/>
    <w:qFormat/>
    <w:uiPriority w:val="0"/>
    <w:rPr>
      <w:b/>
      <w:bCs/>
      <w:kern w:val="2"/>
      <w:sz w:val="32"/>
      <w:szCs w:val="32"/>
    </w:rPr>
  </w:style>
  <w:style w:type="paragraph" w:customStyle="1" w:styleId="30">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7</Words>
  <Characters>40</Characters>
  <Lines>1</Lines>
  <Paragraphs>1</Paragraphs>
  <TotalTime>4272</TotalTime>
  <ScaleCrop>false</ScaleCrop>
  <LinksUpToDate>false</LinksUpToDate>
  <CharactersWithSpaces>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2025-08-11T07:37:16Z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2052-11.1.0.10314</vt:lpwstr>
  </property>
  <property fmtid="{D5CDD505-2E9C-101B-9397-08002B2CF9AE}" pid="4" name="KSOTemplateDocerSaveRecord">
    <vt:lpwstr>eyJoZGlkIjoiN2YzNjBkOTgyNWQ1YTMxYzM3MzMwNWFiODNmOWIzYWMiLCJ1c2VySWQiOiI4MDUyMTE2MjkifQ==</vt:lpwstr>
  </property>
</Properties>
</file>